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179F" w14:textId="77777777" w:rsidR="000C2162" w:rsidRDefault="00000000">
      <w:pPr>
        <w:wordWrap w:val="0"/>
        <w:spacing w:line="580" w:lineRule="exact"/>
        <w:ind w:firstLine="602"/>
        <w:jc w:val="center"/>
        <w:rPr>
          <w:b/>
          <w:sz w:val="36"/>
          <w:szCs w:val="36"/>
        </w:rPr>
      </w:pPr>
      <w:r>
        <w:rPr>
          <w:rFonts w:hint="eastAsia"/>
          <w:b/>
          <w:sz w:val="36"/>
          <w:szCs w:val="36"/>
        </w:rPr>
        <w:t>2</w:t>
      </w:r>
      <w:r>
        <w:rPr>
          <w:b/>
          <w:sz w:val="36"/>
          <w:szCs w:val="36"/>
        </w:rPr>
        <w:t>02</w:t>
      </w:r>
      <w:r>
        <w:rPr>
          <w:rFonts w:hint="eastAsia"/>
          <w:b/>
          <w:sz w:val="36"/>
          <w:szCs w:val="36"/>
        </w:rPr>
        <w:t>3</w:t>
      </w:r>
      <w:r>
        <w:rPr>
          <w:rFonts w:hint="eastAsia"/>
          <w:b/>
          <w:sz w:val="36"/>
          <w:szCs w:val="36"/>
        </w:rPr>
        <w:t>年</w:t>
      </w:r>
      <w:r>
        <w:rPr>
          <w:b/>
          <w:sz w:val="36"/>
          <w:szCs w:val="36"/>
        </w:rPr>
        <w:t>环境科学与工程学科</w:t>
      </w:r>
    </w:p>
    <w:p w14:paraId="26930E5F" w14:textId="77777777" w:rsidR="000C2162" w:rsidRDefault="00000000">
      <w:pPr>
        <w:wordWrap w:val="0"/>
        <w:spacing w:line="580" w:lineRule="exact"/>
        <w:ind w:firstLine="602"/>
        <w:jc w:val="center"/>
        <w:rPr>
          <w:b/>
          <w:sz w:val="36"/>
          <w:szCs w:val="36"/>
        </w:rPr>
      </w:pPr>
      <w:r>
        <w:rPr>
          <w:b/>
          <w:sz w:val="36"/>
          <w:szCs w:val="36"/>
        </w:rPr>
        <w:t>博士研究生申请审核制和硕博连读招生工作细则</w:t>
      </w:r>
    </w:p>
    <w:p w14:paraId="729B23A8" w14:textId="77777777" w:rsidR="000C2162" w:rsidRDefault="000C2162">
      <w:pPr>
        <w:wordWrap w:val="0"/>
        <w:spacing w:line="580" w:lineRule="exact"/>
        <w:ind w:firstLine="602"/>
        <w:jc w:val="center"/>
        <w:rPr>
          <w:b/>
          <w:sz w:val="36"/>
          <w:szCs w:val="36"/>
        </w:rPr>
      </w:pPr>
    </w:p>
    <w:p w14:paraId="44B3D95E" w14:textId="77777777" w:rsidR="000C2162" w:rsidRDefault="000C2162">
      <w:pPr>
        <w:wordWrap w:val="0"/>
        <w:spacing w:line="580" w:lineRule="exact"/>
        <w:ind w:firstLine="480"/>
        <w:jc w:val="left"/>
        <w:rPr>
          <w:rFonts w:ascii="宋体" w:hAnsi="宋体"/>
          <w:color w:val="000000" w:themeColor="text1"/>
          <w:sz w:val="24"/>
          <w:szCs w:val="24"/>
        </w:rPr>
      </w:pPr>
    </w:p>
    <w:p w14:paraId="42A6D65F"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根据学校博士招生简章相关规定，结合环境科学与工程学科特点，为做好博士审核制及硕博连读招生工作，特制定如下工作细则。</w:t>
      </w:r>
    </w:p>
    <w:p w14:paraId="157AD195" w14:textId="77777777" w:rsidR="000C2162" w:rsidRDefault="00000000">
      <w:pPr>
        <w:wordWrap w:val="0"/>
        <w:spacing w:line="580" w:lineRule="exact"/>
        <w:ind w:firstLine="482"/>
        <w:jc w:val="left"/>
        <w:rPr>
          <w:rFonts w:ascii="宋体" w:hAnsi="宋体"/>
          <w:b/>
          <w:color w:val="000000" w:themeColor="text1"/>
          <w:sz w:val="24"/>
          <w:szCs w:val="24"/>
        </w:rPr>
      </w:pPr>
      <w:r>
        <w:rPr>
          <w:rFonts w:ascii="宋体" w:hAnsi="宋体"/>
          <w:b/>
          <w:color w:val="000000" w:themeColor="text1"/>
          <w:sz w:val="24"/>
          <w:szCs w:val="24"/>
        </w:rPr>
        <w:t>一、培养目标</w:t>
      </w:r>
    </w:p>
    <w:p w14:paraId="23C6F727"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为培养德智体美劳全面发展，在环境科学与工程学科上掌握坚实的理论基础和系统深入的专业知识，具有从事科学研究、教学及管理工作能力的高层次创新人才。</w:t>
      </w:r>
    </w:p>
    <w:p w14:paraId="23046B96" w14:textId="77777777" w:rsidR="000C2162" w:rsidRDefault="00000000">
      <w:pPr>
        <w:wordWrap w:val="0"/>
        <w:spacing w:line="580" w:lineRule="exact"/>
        <w:ind w:firstLine="482"/>
        <w:jc w:val="left"/>
        <w:rPr>
          <w:rFonts w:ascii="宋体" w:hAnsi="宋体"/>
          <w:b/>
          <w:color w:val="000000" w:themeColor="text1"/>
          <w:sz w:val="24"/>
          <w:szCs w:val="24"/>
        </w:rPr>
      </w:pPr>
      <w:r>
        <w:rPr>
          <w:rFonts w:ascii="宋体" w:hAnsi="宋体"/>
          <w:b/>
          <w:color w:val="000000" w:themeColor="text1"/>
          <w:sz w:val="24"/>
          <w:szCs w:val="24"/>
        </w:rPr>
        <w:t>二、领导机构</w:t>
      </w:r>
    </w:p>
    <w:p w14:paraId="7BA019DA"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环境与气候研究院成立招生领导小组，统筹全院招生工作</w:t>
      </w:r>
      <w:r>
        <w:rPr>
          <w:rFonts w:ascii="宋体" w:hAnsi="宋体" w:hint="eastAsia"/>
          <w:color w:val="000000" w:themeColor="text1"/>
          <w:sz w:val="24"/>
          <w:szCs w:val="24"/>
        </w:rPr>
        <w:t>。</w:t>
      </w:r>
      <w:r>
        <w:rPr>
          <w:rFonts w:ascii="宋体" w:hAnsi="宋体"/>
          <w:color w:val="000000" w:themeColor="text1"/>
          <w:sz w:val="24"/>
          <w:szCs w:val="24"/>
        </w:rPr>
        <w:t>成立审核面试工作小组，负责对申请人员的材料审核和面试工作。</w:t>
      </w:r>
    </w:p>
    <w:p w14:paraId="480CC185" w14:textId="77777777" w:rsidR="000C2162" w:rsidRDefault="00000000">
      <w:pPr>
        <w:wordWrap w:val="0"/>
        <w:spacing w:line="580" w:lineRule="exact"/>
        <w:ind w:firstLine="560"/>
        <w:rPr>
          <w:rFonts w:ascii="宋体" w:hAnsi="宋体"/>
          <w:color w:val="000000" w:themeColor="text1"/>
          <w:sz w:val="24"/>
          <w:szCs w:val="24"/>
        </w:rPr>
      </w:pPr>
      <w:r>
        <w:rPr>
          <w:rFonts w:ascii="宋体" w:hAnsi="宋体"/>
          <w:b/>
          <w:color w:val="000000" w:themeColor="text1"/>
          <w:sz w:val="24"/>
          <w:szCs w:val="24"/>
        </w:rPr>
        <w:t>三、报考基本条件及审核条件</w:t>
      </w:r>
    </w:p>
    <w:p w14:paraId="2C68F8F0" w14:textId="77777777" w:rsidR="000C2162" w:rsidRDefault="00000000">
      <w:pPr>
        <w:wordWrap w:val="0"/>
        <w:spacing w:line="580" w:lineRule="exact"/>
        <w:ind w:firstLine="280"/>
        <w:jc w:val="left"/>
        <w:rPr>
          <w:rFonts w:ascii="宋体" w:hAnsi="宋体"/>
          <w:color w:val="000000" w:themeColor="text1"/>
          <w:sz w:val="24"/>
          <w:szCs w:val="24"/>
        </w:rPr>
      </w:pPr>
      <w:r>
        <w:rPr>
          <w:rFonts w:ascii="宋体" w:hAnsi="宋体"/>
          <w:b/>
          <w:color w:val="000000" w:themeColor="text1"/>
          <w:sz w:val="24"/>
          <w:szCs w:val="24"/>
        </w:rPr>
        <w:t>（一）基本条件：</w:t>
      </w:r>
      <w:r>
        <w:rPr>
          <w:rFonts w:ascii="宋体" w:hAnsi="宋体"/>
          <w:color w:val="000000" w:themeColor="text1"/>
          <w:sz w:val="24"/>
          <w:szCs w:val="24"/>
        </w:rPr>
        <w:t>按学校招生简章等相关规定</w:t>
      </w:r>
      <w:r>
        <w:rPr>
          <w:rFonts w:ascii="宋体" w:eastAsia="Times New Roman"/>
          <w:color w:val="000000" w:themeColor="text1"/>
          <w:sz w:val="24"/>
          <w:szCs w:val="24"/>
        </w:rPr>
        <w:t>执行</w:t>
      </w:r>
      <w:r>
        <w:rPr>
          <w:rFonts w:ascii="宋体" w:hAnsi="宋体"/>
          <w:color w:val="000000" w:themeColor="text1"/>
          <w:sz w:val="24"/>
          <w:szCs w:val="24"/>
        </w:rPr>
        <w:t>。</w:t>
      </w:r>
    </w:p>
    <w:p w14:paraId="5222DF0F" w14:textId="77777777" w:rsidR="000C2162" w:rsidRDefault="00000000">
      <w:pPr>
        <w:wordWrap w:val="0"/>
        <w:spacing w:line="580" w:lineRule="exact"/>
        <w:ind w:firstLine="281"/>
        <w:jc w:val="left"/>
        <w:rPr>
          <w:rFonts w:ascii="宋体" w:hAnsi="宋体"/>
          <w:b/>
          <w:color w:val="000000" w:themeColor="text1"/>
          <w:sz w:val="24"/>
          <w:szCs w:val="24"/>
        </w:rPr>
      </w:pPr>
      <w:r>
        <w:rPr>
          <w:rFonts w:ascii="宋体" w:hAnsi="宋体"/>
          <w:b/>
          <w:color w:val="000000" w:themeColor="text1"/>
          <w:sz w:val="24"/>
          <w:szCs w:val="24"/>
        </w:rPr>
        <w:t>（二）申请审核制审核条件</w:t>
      </w:r>
    </w:p>
    <w:p w14:paraId="1ED4346B"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1.招生对象：学术型专业面向符合报考条件的应、往届学术型硕士、专业学位硕士；不接受同等学力考生报名；录取类别为非定向全日制。</w:t>
      </w:r>
    </w:p>
    <w:p w14:paraId="4DEBAAE9" w14:textId="77777777" w:rsidR="000C2162" w:rsidRDefault="00000000">
      <w:pPr>
        <w:wordWrap w:val="0"/>
        <w:spacing w:line="580" w:lineRule="exact"/>
        <w:ind w:firstLine="521"/>
        <w:jc w:val="left"/>
        <w:rPr>
          <w:rFonts w:ascii="宋体" w:hAnsi="宋体"/>
          <w:color w:val="000000" w:themeColor="text1"/>
          <w:sz w:val="24"/>
          <w:szCs w:val="24"/>
        </w:rPr>
      </w:pPr>
      <w:r>
        <w:rPr>
          <w:rFonts w:ascii="宋体" w:hAnsi="宋体"/>
          <w:color w:val="000000" w:themeColor="text1"/>
          <w:sz w:val="24"/>
          <w:szCs w:val="24"/>
        </w:rPr>
        <w:t>2.审核基本要求</w:t>
      </w:r>
    </w:p>
    <w:p w14:paraId="650895C4"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（1）专业基础扎实，学习成绩优秀；</w:t>
      </w:r>
    </w:p>
    <w:p w14:paraId="15667A57"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（2）1篇已公开发表的学术论文代表作（</w:t>
      </w:r>
      <w:r>
        <w:rPr>
          <w:rFonts w:ascii="宋体" w:hAnsi="宋体" w:hint="eastAsia"/>
          <w:color w:val="000000" w:themeColor="text1"/>
          <w:sz w:val="24"/>
          <w:szCs w:val="24"/>
        </w:rPr>
        <w:t>前三</w:t>
      </w:r>
      <w:r>
        <w:rPr>
          <w:rFonts w:ascii="宋体" w:hAnsi="宋体"/>
          <w:color w:val="000000" w:themeColor="text1"/>
          <w:sz w:val="24"/>
          <w:szCs w:val="24"/>
        </w:rPr>
        <w:t>作或通讯作者）</w:t>
      </w:r>
      <w:r>
        <w:rPr>
          <w:rFonts w:ascii="宋体" w:hAnsi="宋体" w:hint="eastAsia"/>
          <w:color w:val="000000" w:themeColor="text1"/>
          <w:sz w:val="24"/>
          <w:szCs w:val="24"/>
        </w:rPr>
        <w:t>；或提供至少1篇高质量工作论文或者科技报告，并同时提供不少于两位资深学者（国家级人才工程入选者）关于工作论文或科技报告的推荐信，推荐信须提供推荐人单位、电话及电子邮箱信息，同时提供推荐人学术简历。国家级人才工程包</w:t>
      </w:r>
      <w:r>
        <w:rPr>
          <w:rFonts w:ascii="宋体" w:hAnsi="宋体" w:hint="eastAsia"/>
          <w:color w:val="000000" w:themeColor="text1"/>
          <w:sz w:val="24"/>
          <w:szCs w:val="24"/>
        </w:rPr>
        <w:lastRenderedPageBreak/>
        <w:t>括：两院院士，长江学者（特聘教授、讲座教授、青年学者），国家杰出/优秀青年科学基金获得者，国家高层次人才特殊支持计划（万人计划）等。</w:t>
      </w:r>
    </w:p>
    <w:p w14:paraId="177011EE"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（3）政审合格，两封正高职称专家亲笔署名的推荐信，拟攻读博士研究计划等其他应交材料齐全；</w:t>
      </w:r>
    </w:p>
    <w:p w14:paraId="416CA563" w14:textId="77777777" w:rsidR="000C2162" w:rsidRDefault="00000000">
      <w:pPr>
        <w:wordWrap w:val="0"/>
        <w:spacing w:line="580" w:lineRule="exact"/>
        <w:ind w:firstLine="480"/>
        <w:jc w:val="left"/>
        <w:rPr>
          <w:rFonts w:ascii="宋体" w:hAnsi="宋体"/>
          <w:b/>
          <w:color w:val="000000" w:themeColor="text1"/>
          <w:sz w:val="24"/>
          <w:szCs w:val="24"/>
        </w:rPr>
      </w:pPr>
      <w:r>
        <w:rPr>
          <w:rFonts w:ascii="宋体" w:hAnsi="宋体"/>
          <w:color w:val="000000" w:themeColor="text1"/>
          <w:sz w:val="24"/>
          <w:szCs w:val="24"/>
        </w:rPr>
        <w:t>（4）在职人员如被录取须辞去原单位工作，并按规定时间提交辞职证明并将人事档案转入我校，全脱产学习。</w:t>
      </w:r>
    </w:p>
    <w:p w14:paraId="00119D36"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b/>
          <w:color w:val="000000" w:themeColor="text1"/>
          <w:sz w:val="24"/>
          <w:szCs w:val="24"/>
        </w:rPr>
        <w:t>（三）硕博连读审核条件</w:t>
      </w:r>
    </w:p>
    <w:p w14:paraId="3EC8D6B7"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1．招生对象：面向符合报考条件的暨南大学非定向全日制学术型硕士在校生，录取类别为非定向全日制。</w:t>
      </w:r>
    </w:p>
    <w:p w14:paraId="39E209DE"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2．审核基本要求</w:t>
      </w:r>
    </w:p>
    <w:p w14:paraId="2FA15387"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（1）学习态度端正，学风严谨，能够按照要求完成必修课程（公共学位课和专业学位课）并取得规定的学分，成绩优良；</w:t>
      </w:r>
    </w:p>
    <w:p w14:paraId="5B0E3FA1"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一篇代表性学术论文</w:t>
      </w:r>
      <w:r>
        <w:rPr>
          <w:rFonts w:ascii="宋体" w:hAnsi="宋体" w:hint="eastAsia"/>
          <w:color w:val="000000" w:themeColor="text1"/>
          <w:sz w:val="24"/>
          <w:szCs w:val="24"/>
        </w:rPr>
        <w:t>；</w:t>
      </w:r>
    </w:p>
    <w:p w14:paraId="4CABD84F"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）政审合格，有2位正高职称专家推荐信，拟攻读博士研究计划等其他应交材料齐全。</w:t>
      </w:r>
    </w:p>
    <w:p w14:paraId="779619D9"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参加申请审核制与硕博连读的考生应当在学校规定的时间内将材料直接递交或邮寄至</w:t>
      </w:r>
      <w:r>
        <w:rPr>
          <w:rFonts w:ascii="宋体" w:hAnsi="宋体" w:hint="eastAsia"/>
          <w:color w:val="000000" w:themeColor="text1"/>
          <w:sz w:val="24"/>
          <w:szCs w:val="24"/>
        </w:rPr>
        <w:t>研究院</w:t>
      </w:r>
      <w:r>
        <w:rPr>
          <w:rFonts w:ascii="宋体" w:hAnsi="宋体"/>
          <w:color w:val="000000" w:themeColor="text1"/>
          <w:sz w:val="24"/>
          <w:szCs w:val="24"/>
        </w:rPr>
        <w:t>研究生管理办公室，逾期未提交材料者视为自动放弃。如材料不全，则不予受理。</w:t>
      </w:r>
    </w:p>
    <w:p w14:paraId="546AA127" w14:textId="77777777" w:rsidR="000C2162" w:rsidRDefault="00000000">
      <w:pPr>
        <w:wordWrap w:val="0"/>
        <w:spacing w:line="580" w:lineRule="exact"/>
        <w:ind w:firstLine="482"/>
        <w:jc w:val="left"/>
        <w:rPr>
          <w:rFonts w:ascii="宋体" w:hAnsi="宋体"/>
          <w:b/>
          <w:color w:val="000000" w:themeColor="text1"/>
          <w:sz w:val="24"/>
          <w:szCs w:val="24"/>
        </w:rPr>
      </w:pPr>
      <w:r>
        <w:rPr>
          <w:rFonts w:ascii="宋体" w:hAnsi="宋体"/>
          <w:b/>
          <w:color w:val="000000" w:themeColor="text1"/>
          <w:sz w:val="24"/>
          <w:szCs w:val="24"/>
        </w:rPr>
        <w:t>四、材料审核</w:t>
      </w:r>
    </w:p>
    <w:p w14:paraId="19B530CF" w14:textId="1ED9CA29" w:rsidR="000C2162" w:rsidRDefault="00000000">
      <w:pPr>
        <w:wordWrap w:val="0"/>
        <w:spacing w:line="580" w:lineRule="exact"/>
        <w:ind w:firstLine="482"/>
        <w:jc w:val="left"/>
        <w:rPr>
          <w:rFonts w:ascii="宋体" w:hAnsi="宋体"/>
          <w:color w:val="000000" w:themeColor="text1"/>
          <w:sz w:val="24"/>
          <w:szCs w:val="24"/>
        </w:rPr>
      </w:pPr>
      <w:r>
        <w:rPr>
          <w:rFonts w:ascii="宋体" w:hAnsi="宋体"/>
          <w:color w:val="000000" w:themeColor="text1"/>
          <w:sz w:val="24"/>
          <w:szCs w:val="24"/>
        </w:rPr>
        <w:t>组织不少于7位专家对申请材料进行审核，分别给出外语水平、专业素质、研究潜力三个方面的成绩。实行每位导师独立评分，按总分由高到低排序，确定复试名单。复试人数与录取人数比例原则上不超过</w:t>
      </w:r>
      <w:r w:rsidR="00E6607C">
        <w:rPr>
          <w:rFonts w:ascii="宋体" w:hAnsi="宋体"/>
          <w:color w:val="000000" w:themeColor="text1"/>
          <w:sz w:val="24"/>
          <w:szCs w:val="24"/>
        </w:rPr>
        <w:t>3</w:t>
      </w:r>
      <w:r>
        <w:rPr>
          <w:rFonts w:ascii="宋体" w:hAnsi="宋体"/>
          <w:color w:val="000000" w:themeColor="text1"/>
          <w:sz w:val="24"/>
          <w:szCs w:val="24"/>
        </w:rPr>
        <w:t>：1，经招生工作领导小组批准后，可适当扩大。</w:t>
      </w:r>
    </w:p>
    <w:p w14:paraId="571E2E4B" w14:textId="77777777" w:rsidR="000C2162" w:rsidRDefault="00000000">
      <w:pPr>
        <w:wordWrap w:val="0"/>
        <w:spacing w:line="580" w:lineRule="exact"/>
        <w:ind w:firstLine="482"/>
        <w:jc w:val="left"/>
        <w:rPr>
          <w:rFonts w:ascii="宋体" w:hAnsi="宋体"/>
          <w:b/>
          <w:color w:val="000000" w:themeColor="text1"/>
          <w:sz w:val="24"/>
          <w:szCs w:val="24"/>
        </w:rPr>
      </w:pPr>
      <w:r>
        <w:rPr>
          <w:rFonts w:ascii="宋体" w:hAnsi="宋体"/>
          <w:b/>
          <w:color w:val="000000" w:themeColor="text1"/>
          <w:sz w:val="24"/>
          <w:szCs w:val="24"/>
        </w:rPr>
        <w:t>五、复试</w:t>
      </w:r>
    </w:p>
    <w:p w14:paraId="3BE2DCD2" w14:textId="77777777" w:rsidR="000C2162" w:rsidRDefault="00000000">
      <w:pPr>
        <w:wordWrap w:val="0"/>
        <w:spacing w:line="580" w:lineRule="exact"/>
        <w:ind w:firstLine="560"/>
        <w:jc w:val="left"/>
        <w:rPr>
          <w:rFonts w:ascii="宋体" w:hAnsi="宋体"/>
          <w:color w:val="000000" w:themeColor="text1"/>
          <w:sz w:val="24"/>
          <w:szCs w:val="24"/>
        </w:rPr>
      </w:pPr>
      <w:r>
        <w:rPr>
          <w:rFonts w:ascii="宋体" w:hAnsi="宋体"/>
          <w:color w:val="000000" w:themeColor="text1"/>
          <w:sz w:val="24"/>
          <w:szCs w:val="24"/>
        </w:rPr>
        <w:lastRenderedPageBreak/>
        <w:t>1.每位考生复试时间不少于30分钟，其中每人不少于15分钟学术情况汇报（PPT形式）；</w:t>
      </w:r>
    </w:p>
    <w:p w14:paraId="093E3B82" w14:textId="77777777" w:rsidR="000C2162" w:rsidRDefault="00000000">
      <w:pPr>
        <w:wordWrap w:val="0"/>
        <w:spacing w:line="580" w:lineRule="exact"/>
        <w:ind w:firstLine="549"/>
        <w:rPr>
          <w:rFonts w:ascii="宋体" w:hAnsi="宋体"/>
          <w:color w:val="000000" w:themeColor="text1"/>
          <w:sz w:val="24"/>
          <w:szCs w:val="24"/>
        </w:rPr>
      </w:pPr>
      <w:r>
        <w:rPr>
          <w:rFonts w:ascii="宋体" w:hAnsi="宋体"/>
          <w:color w:val="000000" w:themeColor="text1"/>
          <w:sz w:val="24"/>
          <w:szCs w:val="24"/>
        </w:rPr>
        <w:t>2.成立不少于7位专家的面试小组，分别对每位考生从外语、专业素质、研究潜力三个方面独立评分，专家评分成绩作为面试成绩；</w:t>
      </w:r>
    </w:p>
    <w:p w14:paraId="337DAE30" w14:textId="77777777" w:rsidR="000C2162" w:rsidRDefault="00000000">
      <w:pPr>
        <w:wordWrap w:val="0"/>
        <w:spacing w:line="580" w:lineRule="exact"/>
        <w:ind w:firstLine="549"/>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color w:val="000000" w:themeColor="text1"/>
          <w:sz w:val="24"/>
          <w:szCs w:val="24"/>
        </w:rPr>
        <w:t>.申请审核和硕博连读研究生按材料审核成绩与复试成绩相加后的总成绩排序，审核与面试的分数所占比重为50%：50%，录取时按照分数从高到低的原则排序，确定拟录取名单；</w:t>
      </w:r>
    </w:p>
    <w:p w14:paraId="7790379C" w14:textId="77777777" w:rsidR="000C2162" w:rsidRDefault="00000000">
      <w:pPr>
        <w:wordWrap w:val="0"/>
        <w:spacing w:line="580" w:lineRule="exact"/>
        <w:ind w:firstLine="549"/>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color w:val="000000" w:themeColor="text1"/>
          <w:sz w:val="24"/>
          <w:szCs w:val="24"/>
        </w:rPr>
        <w:t>.报名时不要求选择导师，待拟录取名单公示后，再选择导师（师生互选）。</w:t>
      </w:r>
    </w:p>
    <w:p w14:paraId="72B24325" w14:textId="77777777" w:rsidR="000C2162" w:rsidRDefault="00000000">
      <w:pPr>
        <w:wordWrap w:val="0"/>
        <w:spacing w:line="580" w:lineRule="exact"/>
        <w:ind w:firstLine="482"/>
        <w:jc w:val="left"/>
        <w:rPr>
          <w:rFonts w:ascii="宋体"/>
          <w:b/>
          <w:color w:val="000000" w:themeColor="text1"/>
          <w:sz w:val="24"/>
          <w:szCs w:val="24"/>
        </w:rPr>
      </w:pPr>
      <w:r>
        <w:rPr>
          <w:rFonts w:ascii="宋体" w:hAnsi="宋体"/>
          <w:b/>
          <w:color w:val="000000" w:themeColor="text1"/>
          <w:sz w:val="24"/>
          <w:szCs w:val="24"/>
        </w:rPr>
        <w:t>六、材料寄送</w:t>
      </w:r>
    </w:p>
    <w:p w14:paraId="3BC6DCCD" w14:textId="77777777" w:rsidR="000C2162" w:rsidRDefault="00000000">
      <w:pPr>
        <w:wordWrap w:val="0"/>
        <w:spacing w:line="580" w:lineRule="exact"/>
        <w:ind w:firstLine="480"/>
        <w:jc w:val="left"/>
        <w:rPr>
          <w:rFonts w:ascii="宋体" w:hAnsi="宋体"/>
          <w:color w:val="000000" w:themeColor="text1"/>
          <w:sz w:val="24"/>
          <w:szCs w:val="24"/>
        </w:rPr>
      </w:pPr>
      <w:r>
        <w:rPr>
          <w:rFonts w:ascii="宋体" w:hAnsi="宋体"/>
          <w:color w:val="000000" w:themeColor="text1"/>
          <w:sz w:val="24"/>
          <w:szCs w:val="24"/>
        </w:rPr>
        <w:t>考生将申请材料寄至：广东省广州市兴业大道东855号暨南大学番禺校区学院楼B1栋2101室，环境与气候研究院招生管理办公室，邵老师（收）。联系电话：020-37336650。</w:t>
      </w:r>
    </w:p>
    <w:p w14:paraId="57116FC6" w14:textId="77777777" w:rsidR="000C2162" w:rsidRDefault="000C2162">
      <w:pPr>
        <w:wordWrap w:val="0"/>
        <w:spacing w:line="580" w:lineRule="exact"/>
        <w:ind w:firstLine="480"/>
        <w:jc w:val="right"/>
        <w:rPr>
          <w:rFonts w:ascii="宋体" w:hAnsi="宋体"/>
          <w:color w:val="000000" w:themeColor="text1"/>
          <w:sz w:val="24"/>
          <w:szCs w:val="24"/>
        </w:rPr>
      </w:pPr>
    </w:p>
    <w:p w14:paraId="52F9EDD3" w14:textId="77777777" w:rsidR="000C2162" w:rsidRDefault="000C2162">
      <w:pPr>
        <w:wordWrap w:val="0"/>
        <w:spacing w:line="580" w:lineRule="exact"/>
        <w:ind w:firstLine="480"/>
        <w:jc w:val="right"/>
        <w:rPr>
          <w:rFonts w:ascii="宋体" w:hAnsi="宋体"/>
          <w:color w:val="000000" w:themeColor="text1"/>
          <w:sz w:val="24"/>
          <w:szCs w:val="24"/>
        </w:rPr>
      </w:pPr>
    </w:p>
    <w:sectPr w:rsidR="000C2162">
      <w:footerReference w:type="default" r:id="rId7"/>
      <w:pgSz w:w="11906" w:h="16838"/>
      <w:pgMar w:top="1440" w:right="1800" w:bottom="1440" w:left="1800" w:header="851" w:footer="992" w:gutter="0"/>
      <w:cols w:space="720"/>
      <w:docGrid w:type="lines" w:linePitch="42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0D23" w14:textId="77777777" w:rsidR="00A157D0" w:rsidRDefault="00A157D0">
      <w:r>
        <w:separator/>
      </w:r>
    </w:p>
  </w:endnote>
  <w:endnote w:type="continuationSeparator" w:id="0">
    <w:p w14:paraId="54A88091" w14:textId="77777777" w:rsidR="00A157D0" w:rsidRDefault="00A1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4A1D" w14:textId="77777777" w:rsidR="000C2162" w:rsidRDefault="00000000">
    <w:pPr>
      <w:pStyle w:val="a5"/>
    </w:pPr>
    <w:r>
      <w:rPr>
        <w:noProof/>
      </w:rPr>
      <mc:AlternateContent>
        <mc:Choice Requires="wps">
          <w:drawing>
            <wp:anchor distT="0" distB="0" distL="114300" distR="114300" simplePos="0" relativeHeight="251659264" behindDoc="0" locked="0" layoutInCell="1" allowOverlap="1" wp14:anchorId="5B7CBDD3" wp14:editId="5B8B1E1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0F5645" w14:textId="77777777" w:rsidR="000C2162" w:rsidRDefault="00000000">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DF41" w14:textId="77777777" w:rsidR="00A157D0" w:rsidRDefault="00A157D0">
      <w:r>
        <w:separator/>
      </w:r>
    </w:p>
  </w:footnote>
  <w:footnote w:type="continuationSeparator" w:id="0">
    <w:p w14:paraId="4FA05A94" w14:textId="77777777" w:rsidR="00A157D0" w:rsidRDefault="00A15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0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VkYTIzOWRhZDlkYmJjZTQ0OTQyYTMzZTNjMTgxMmIifQ=="/>
  </w:docVars>
  <w:rsids>
    <w:rsidRoot w:val="004E2679"/>
    <w:rsid w:val="000C2162"/>
    <w:rsid w:val="00297522"/>
    <w:rsid w:val="004E2679"/>
    <w:rsid w:val="00503439"/>
    <w:rsid w:val="00682889"/>
    <w:rsid w:val="00933FCD"/>
    <w:rsid w:val="00A157D0"/>
    <w:rsid w:val="00E6607C"/>
    <w:rsid w:val="00E86E32"/>
    <w:rsid w:val="00F529FE"/>
    <w:rsid w:val="03B603B0"/>
    <w:rsid w:val="08933073"/>
    <w:rsid w:val="0A24628F"/>
    <w:rsid w:val="16FD28A7"/>
    <w:rsid w:val="22056573"/>
    <w:rsid w:val="22122F3E"/>
    <w:rsid w:val="245558CF"/>
    <w:rsid w:val="25F47804"/>
    <w:rsid w:val="32C36E2F"/>
    <w:rsid w:val="36B03E15"/>
    <w:rsid w:val="48280DE3"/>
    <w:rsid w:val="66B93AE7"/>
    <w:rsid w:val="6DF40D2A"/>
    <w:rsid w:val="74324AEB"/>
    <w:rsid w:val="7CBB4FB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F3429"/>
  <w15:docId w15:val="{5A7CF604-E65D-40F6-B058-BA2E7A9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sz w:val="21"/>
      <w:szCs w:val="21"/>
    </w:rPr>
  </w:style>
  <w:style w:type="paragraph" w:styleId="1">
    <w:name w:val="heading 1"/>
    <w:next w:val="a"/>
    <w:uiPriority w:val="9"/>
    <w:qFormat/>
    <w:pPr>
      <w:jc w:val="both"/>
      <w:outlineLvl w:val="0"/>
    </w:pPr>
    <w:rPr>
      <w:sz w:val="28"/>
      <w:szCs w:val="28"/>
    </w:rPr>
  </w:style>
  <w:style w:type="paragraph" w:styleId="2">
    <w:name w:val="heading 2"/>
    <w:next w:val="a"/>
    <w:uiPriority w:val="9"/>
    <w:semiHidden/>
    <w:unhideWhenUsed/>
    <w:qFormat/>
    <w:pPr>
      <w:jc w:val="both"/>
      <w:outlineLvl w:val="1"/>
    </w:pPr>
    <w:rPr>
      <w:sz w:val="21"/>
      <w:szCs w:val="21"/>
    </w:rPr>
  </w:style>
  <w:style w:type="paragraph" w:styleId="3">
    <w:name w:val="heading 3"/>
    <w:next w:val="a"/>
    <w:uiPriority w:val="9"/>
    <w:semiHidden/>
    <w:unhideWhenUsed/>
    <w:qFormat/>
    <w:pPr>
      <w:ind w:left="1000" w:hanging="400"/>
      <w:jc w:val="both"/>
      <w:outlineLvl w:val="2"/>
    </w:pPr>
    <w:rPr>
      <w:sz w:val="21"/>
      <w:szCs w:val="21"/>
    </w:rPr>
  </w:style>
  <w:style w:type="paragraph" w:styleId="4">
    <w:name w:val="heading 4"/>
    <w:next w:val="a"/>
    <w:uiPriority w:val="9"/>
    <w:semiHidden/>
    <w:unhideWhenUsed/>
    <w:qFormat/>
    <w:pPr>
      <w:ind w:left="1200" w:hanging="400"/>
      <w:jc w:val="both"/>
      <w:outlineLvl w:val="3"/>
    </w:pPr>
    <w:rPr>
      <w:b/>
    </w:rPr>
  </w:style>
  <w:style w:type="paragraph" w:styleId="5">
    <w:name w:val="heading 5"/>
    <w:next w:val="a"/>
    <w:uiPriority w:val="9"/>
    <w:semiHidden/>
    <w:unhideWhenUsed/>
    <w:qFormat/>
    <w:pPr>
      <w:ind w:left="1400" w:hanging="400"/>
      <w:jc w:val="both"/>
      <w:outlineLvl w:val="4"/>
    </w:pPr>
    <w:rPr>
      <w:sz w:val="21"/>
      <w:szCs w:val="21"/>
    </w:rPr>
  </w:style>
  <w:style w:type="paragraph" w:styleId="6">
    <w:name w:val="heading 6"/>
    <w:next w:val="a"/>
    <w:uiPriority w:val="9"/>
    <w:semiHidden/>
    <w:unhideWhenUsed/>
    <w:qFormat/>
    <w:pPr>
      <w:ind w:left="1600" w:hanging="400"/>
      <w:jc w:val="both"/>
      <w:outlineLvl w:val="5"/>
    </w:pPr>
    <w:rPr>
      <w:b/>
    </w:rPr>
  </w:style>
  <w:style w:type="paragraph" w:styleId="7">
    <w:name w:val="heading 7"/>
    <w:next w:val="a"/>
    <w:uiPriority w:val="13"/>
    <w:qFormat/>
    <w:pPr>
      <w:ind w:left="1800" w:hanging="400"/>
      <w:jc w:val="both"/>
      <w:outlineLvl w:val="6"/>
    </w:pPr>
    <w:rPr>
      <w:sz w:val="21"/>
      <w:szCs w:val="21"/>
    </w:rPr>
  </w:style>
  <w:style w:type="paragraph" w:styleId="8">
    <w:name w:val="heading 8"/>
    <w:next w:val="a"/>
    <w:uiPriority w:val="14"/>
    <w:qFormat/>
    <w:pPr>
      <w:ind w:left="2000" w:hanging="400"/>
      <w:jc w:val="both"/>
      <w:outlineLvl w:val="7"/>
    </w:pPr>
    <w:rPr>
      <w:sz w:val="21"/>
      <w:szCs w:val="21"/>
    </w:rPr>
  </w:style>
  <w:style w:type="paragraph" w:styleId="9">
    <w:name w:val="heading 9"/>
    <w:next w:val="a"/>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sz w:val="21"/>
      <w:szCs w:val="21"/>
    </w:rPr>
  </w:style>
  <w:style w:type="paragraph" w:styleId="TOC5">
    <w:name w:val="toc 5"/>
    <w:next w:val="a"/>
    <w:uiPriority w:val="32"/>
    <w:unhideWhenUsed/>
    <w:qFormat/>
    <w:pPr>
      <w:ind w:left="1700"/>
      <w:jc w:val="both"/>
    </w:pPr>
    <w:rPr>
      <w:sz w:val="21"/>
      <w:szCs w:val="21"/>
    </w:rPr>
  </w:style>
  <w:style w:type="paragraph" w:styleId="TOC3">
    <w:name w:val="toc 3"/>
    <w:next w:val="a"/>
    <w:uiPriority w:val="30"/>
    <w:unhideWhenUsed/>
    <w:qFormat/>
    <w:pPr>
      <w:ind w:left="850"/>
      <w:jc w:val="both"/>
    </w:pPr>
    <w:rPr>
      <w:sz w:val="21"/>
      <w:szCs w:val="21"/>
    </w:rPr>
  </w:style>
  <w:style w:type="paragraph" w:styleId="TOC8">
    <w:name w:val="toc 8"/>
    <w:next w:val="a"/>
    <w:uiPriority w:val="35"/>
    <w:unhideWhenUsed/>
    <w:qFormat/>
    <w:pPr>
      <w:ind w:left="2975"/>
      <w:jc w:val="both"/>
    </w:pPr>
    <w:rPr>
      <w:sz w:val="21"/>
      <w:szCs w:val="21"/>
    </w:rPr>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pPr>
    <w:rPr>
      <w:sz w:val="18"/>
      <w:szCs w:val="18"/>
    </w:rPr>
  </w:style>
  <w:style w:type="paragraph" w:styleId="a7">
    <w:name w:val="header"/>
    <w:basedOn w:val="a"/>
    <w:link w:val="a8"/>
    <w:unhideWhenUsed/>
    <w:qFormat/>
    <w:pPr>
      <w:tabs>
        <w:tab w:val="center" w:pos="4153"/>
        <w:tab w:val="right" w:pos="8306"/>
      </w:tabs>
      <w:jc w:val="center"/>
    </w:pPr>
    <w:rPr>
      <w:sz w:val="18"/>
      <w:szCs w:val="18"/>
    </w:rPr>
  </w:style>
  <w:style w:type="paragraph" w:styleId="TOC1">
    <w:name w:val="toc 1"/>
    <w:next w:val="a"/>
    <w:uiPriority w:val="28"/>
    <w:unhideWhenUsed/>
    <w:qFormat/>
    <w:pPr>
      <w:jc w:val="both"/>
    </w:pPr>
    <w:rPr>
      <w:sz w:val="21"/>
      <w:szCs w:val="21"/>
    </w:rPr>
  </w:style>
  <w:style w:type="paragraph" w:styleId="TOC4">
    <w:name w:val="toc 4"/>
    <w:next w:val="a"/>
    <w:uiPriority w:val="31"/>
    <w:unhideWhenUsed/>
    <w:qFormat/>
    <w:pPr>
      <w:ind w:left="1275"/>
      <w:jc w:val="both"/>
    </w:pPr>
    <w:rPr>
      <w:sz w:val="21"/>
      <w:szCs w:val="21"/>
    </w:rPr>
  </w:style>
  <w:style w:type="paragraph" w:styleId="a9">
    <w:name w:val="Subtitle"/>
    <w:uiPriority w:val="11"/>
    <w:qFormat/>
    <w:pPr>
      <w:jc w:val="center"/>
    </w:pPr>
    <w:rPr>
      <w:sz w:val="24"/>
      <w:szCs w:val="24"/>
    </w:rPr>
  </w:style>
  <w:style w:type="paragraph" w:styleId="TOC6">
    <w:name w:val="toc 6"/>
    <w:next w:val="a"/>
    <w:uiPriority w:val="33"/>
    <w:unhideWhenUsed/>
    <w:qFormat/>
    <w:pPr>
      <w:ind w:left="2125"/>
      <w:jc w:val="both"/>
    </w:pPr>
    <w:rPr>
      <w:sz w:val="21"/>
      <w:szCs w:val="21"/>
    </w:rPr>
  </w:style>
  <w:style w:type="paragraph" w:styleId="TOC2">
    <w:name w:val="toc 2"/>
    <w:next w:val="a"/>
    <w:uiPriority w:val="29"/>
    <w:unhideWhenUsed/>
    <w:qFormat/>
    <w:pPr>
      <w:ind w:left="425"/>
      <w:jc w:val="both"/>
    </w:pPr>
    <w:rPr>
      <w:sz w:val="21"/>
      <w:szCs w:val="21"/>
    </w:rPr>
  </w:style>
  <w:style w:type="paragraph" w:styleId="TOC9">
    <w:name w:val="toc 9"/>
    <w:next w:val="a"/>
    <w:uiPriority w:val="36"/>
    <w:unhideWhenUsed/>
    <w:qFormat/>
    <w:pPr>
      <w:ind w:left="3400"/>
      <w:jc w:val="both"/>
    </w:pPr>
    <w:rPr>
      <w:sz w:val="21"/>
      <w:szCs w:val="21"/>
    </w:rPr>
  </w:style>
  <w:style w:type="paragraph" w:styleId="aa">
    <w:name w:val="Title"/>
    <w:uiPriority w:val="10"/>
    <w:qFormat/>
    <w:pPr>
      <w:jc w:val="center"/>
    </w:pPr>
    <w:rPr>
      <w:b/>
      <w:sz w:val="32"/>
      <w:szCs w:val="32"/>
    </w:rPr>
  </w:style>
  <w:style w:type="character" w:styleId="ab">
    <w:name w:val="Strong"/>
    <w:uiPriority w:val="20"/>
    <w:qFormat/>
    <w:rPr>
      <w:b/>
      <w:w w:val="100"/>
      <w:sz w:val="21"/>
      <w:szCs w:val="21"/>
      <w:shd w:val="clear" w:color="000000" w:fill="auto"/>
    </w:rPr>
  </w:style>
  <w:style w:type="character" w:styleId="ac">
    <w:name w:val="Emphasis"/>
    <w:uiPriority w:val="18"/>
    <w:qFormat/>
    <w:rPr>
      <w:i/>
      <w:w w:val="100"/>
      <w:sz w:val="21"/>
      <w:szCs w:val="21"/>
      <w:shd w:val="clear" w:color="000000" w:fill="auto"/>
    </w:rPr>
  </w:style>
  <w:style w:type="paragraph" w:styleId="ad">
    <w:name w:val="No Spacing"/>
    <w:uiPriority w:val="5"/>
    <w:qFormat/>
    <w:pPr>
      <w:jc w:val="both"/>
    </w:pPr>
    <w:rPr>
      <w:sz w:val="21"/>
      <w:szCs w:val="21"/>
    </w:rPr>
  </w:style>
  <w:style w:type="character" w:customStyle="1" w:styleId="10">
    <w:name w:val="不明显强调1"/>
    <w:uiPriority w:val="17"/>
    <w:qFormat/>
    <w:rPr>
      <w:i/>
      <w:color w:val="404040"/>
      <w:w w:val="100"/>
      <w:sz w:val="21"/>
      <w:szCs w:val="21"/>
      <w:shd w:val="clear" w:color="000000" w:fill="auto"/>
    </w:rPr>
  </w:style>
  <w:style w:type="character" w:customStyle="1" w:styleId="11">
    <w:name w:val="明显强调1"/>
    <w:uiPriority w:val="19"/>
    <w:qFormat/>
    <w:rPr>
      <w:i/>
      <w:color w:val="5B9BD5"/>
      <w:w w:val="100"/>
      <w:sz w:val="21"/>
      <w:szCs w:val="21"/>
      <w:shd w:val="clear" w:color="000000" w:fill="auto"/>
    </w:rPr>
  </w:style>
  <w:style w:type="paragraph" w:styleId="ae">
    <w:name w:val="Quote"/>
    <w:uiPriority w:val="21"/>
    <w:qFormat/>
    <w:pPr>
      <w:ind w:left="864" w:right="864"/>
      <w:jc w:val="center"/>
    </w:pPr>
    <w:rPr>
      <w:i/>
      <w:color w:val="404040"/>
    </w:rPr>
  </w:style>
  <w:style w:type="paragraph" w:styleId="af">
    <w:name w:val="Intense Quote"/>
    <w:uiPriority w:val="22"/>
    <w:qFormat/>
    <w:pPr>
      <w:ind w:left="950" w:right="950"/>
      <w:jc w:val="center"/>
    </w:pPr>
    <w:rPr>
      <w:i/>
      <w:color w:val="5B9BD5"/>
    </w:rPr>
  </w:style>
  <w:style w:type="character" w:customStyle="1" w:styleId="12">
    <w:name w:val="不明显参考1"/>
    <w:uiPriority w:val="23"/>
    <w:qFormat/>
    <w:rPr>
      <w:smallCaps/>
      <w:color w:val="5A5A5A"/>
      <w:w w:val="100"/>
      <w:sz w:val="21"/>
      <w:szCs w:val="21"/>
      <w:shd w:val="clear" w:color="000000" w:fill="auto"/>
    </w:rPr>
  </w:style>
  <w:style w:type="character" w:customStyle="1" w:styleId="13">
    <w:name w:val="明显参考1"/>
    <w:uiPriority w:val="24"/>
    <w:qFormat/>
    <w:rPr>
      <w:b/>
      <w:smallCaps/>
      <w:color w:val="5B9BD5"/>
      <w:w w:val="100"/>
      <w:sz w:val="21"/>
      <w:szCs w:val="21"/>
      <w:shd w:val="clear" w:color="000000" w:fill="auto"/>
    </w:rPr>
  </w:style>
  <w:style w:type="character" w:customStyle="1" w:styleId="14">
    <w:name w:val="书籍标题1"/>
    <w:uiPriority w:val="25"/>
    <w:qFormat/>
    <w:rPr>
      <w:b/>
      <w:i/>
      <w:w w:val="100"/>
      <w:sz w:val="21"/>
      <w:szCs w:val="21"/>
      <w:shd w:val="clear" w:color="000000" w:fill="auto"/>
    </w:rPr>
  </w:style>
  <w:style w:type="paragraph" w:styleId="af0">
    <w:name w:val="List Paragraph"/>
    <w:uiPriority w:val="26"/>
    <w:qFormat/>
    <w:pPr>
      <w:ind w:left="850"/>
      <w:jc w:val="both"/>
    </w:pPr>
    <w:rPr>
      <w:sz w:val="21"/>
      <w:szCs w:val="21"/>
    </w:rPr>
  </w:style>
  <w:style w:type="paragraph" w:customStyle="1" w:styleId="TOC10">
    <w:name w:val="TOC 标题1"/>
    <w:uiPriority w:val="27"/>
    <w:unhideWhenUsed/>
    <w:qFormat/>
    <w:pPr>
      <w:jc w:val="both"/>
    </w:pPr>
    <w:rPr>
      <w:color w:val="2E74B5"/>
      <w:sz w:val="32"/>
      <w:szCs w:val="32"/>
    </w:rPr>
  </w:style>
  <w:style w:type="character" w:customStyle="1" w:styleId="a8">
    <w:name w:val="页眉 字符"/>
    <w:basedOn w:val="a0"/>
    <w:link w:val="a7"/>
    <w:qFormat/>
    <w:rPr>
      <w:w w:val="100"/>
      <w:sz w:val="18"/>
      <w:szCs w:val="18"/>
      <w:shd w:val="clear" w:color="auto" w:fill="auto"/>
    </w:rPr>
  </w:style>
  <w:style w:type="character" w:customStyle="1" w:styleId="a6">
    <w:name w:val="页脚 字符"/>
    <w:basedOn w:val="a0"/>
    <w:link w:val="a5"/>
    <w:qFormat/>
    <w:rPr>
      <w:w w:val="100"/>
      <w:sz w:val="18"/>
      <w:szCs w:val="18"/>
      <w:shd w:val="clear" w:color="auto" w:fill="auto"/>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Ye Yangxin</cp:lastModifiedBy>
  <cp:revision>7</cp:revision>
  <cp:lastPrinted>2022-10-28T06:39:00Z</cp:lastPrinted>
  <dcterms:created xsi:type="dcterms:W3CDTF">2019-11-08T12:21:00Z</dcterms:created>
  <dcterms:modified xsi:type="dcterms:W3CDTF">2022-10-31T12:52:00Z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00056DAD5AF7473FABE77FAC20A59384</vt:lpwstr>
  </property>
</Properties>
</file>