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3C" w:rsidRDefault="00880AC2" w:rsidP="009E0979"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4E032D">
        <w:rPr>
          <w:rFonts w:ascii="Times New Roman" w:hAnsi="Times New Roman" w:cs="Times New Roman" w:hint="eastAsia"/>
          <w:b/>
          <w:sz w:val="30"/>
          <w:szCs w:val="30"/>
        </w:rPr>
        <w:t>1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理工学院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924A3C" w:rsidRDefault="00924A3C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根据学校博士招生简章相关规定，结合学院学科特点，为做好我院博士审核</w:t>
      </w:r>
      <w:proofErr w:type="gramStart"/>
      <w:r>
        <w:rPr>
          <w:rFonts w:ascii="Times New Roman" w:cs="Times New Roman"/>
        </w:rPr>
        <w:t>制及硕博</w:t>
      </w:r>
      <w:proofErr w:type="gramEnd"/>
      <w:r>
        <w:rPr>
          <w:rFonts w:ascii="Times New Roman" w:cs="Times New Roman"/>
        </w:rPr>
        <w:t>连读招生工作，特制定如下工作细则。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ascii="Times New Roman" w:cs="Times New Roman" w:hint="eastAsia"/>
          <w:b/>
        </w:rPr>
        <w:t>招生专业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光学工程（</w:t>
      </w:r>
      <w:r>
        <w:rPr>
          <w:rFonts w:ascii="Times New Roman" w:cs="Times New Roman" w:hint="eastAsia"/>
        </w:rPr>
        <w:t>0803</w:t>
      </w:r>
      <w:r>
        <w:rPr>
          <w:rFonts w:ascii="Times New Roman" w:cs="Times New Roman" w:hint="eastAsia"/>
        </w:rPr>
        <w:t>）、生物医学物理与生物医学信息技术（</w:t>
      </w:r>
      <w:r>
        <w:rPr>
          <w:rFonts w:ascii="Times New Roman" w:cs="Times New Roman" w:hint="eastAsia"/>
        </w:rPr>
        <w:t>0831Z2</w:t>
      </w:r>
      <w:r>
        <w:rPr>
          <w:rFonts w:ascii="Times New Roman" w:cs="Times New Roman" w:hint="eastAsia"/>
        </w:rPr>
        <w:t>）。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学院成立招生领导小组，统筹全院招生工作；各专业</w:t>
      </w:r>
      <w:proofErr w:type="gramStart"/>
      <w:r>
        <w:rPr>
          <w:rFonts w:ascii="Times New Roman" w:cs="Times New Roman"/>
        </w:rPr>
        <w:t>点成立</w:t>
      </w:r>
      <w:proofErr w:type="gramEnd"/>
      <w:r>
        <w:rPr>
          <w:rFonts w:ascii="Times New Roman" w:cs="Times New Roman"/>
        </w:rPr>
        <w:t>审核面试工作小组，负责对申请人员的材料审核和面试工作。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三、报考基础条件及审核条件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ascii="Times New Roman" w:cs="Times New Roman" w:hint="eastAsia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cs="Times New Roman"/>
        </w:rPr>
        <w:t>）在职人员</w:t>
      </w:r>
      <w:r>
        <w:rPr>
          <w:rFonts w:ascii="Times New Roman" w:cs="Times New Roman" w:hint="eastAsia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ascii="Times New Roman" w:cs="Times New Roman" w:hint="eastAsia"/>
        </w:rPr>
        <w:t>，全</w:t>
      </w:r>
      <w:r>
        <w:rPr>
          <w:rFonts w:ascii="Times New Roman" w:cs="Times New Roman"/>
        </w:rPr>
        <w:t>脱产学习。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硕博连读审核条件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 w:rsidR="00880AC2" w:rsidRDefault="00880AC2" w:rsidP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位正高职称专家推荐，拟攻读博士研究计划等其他应</w:t>
      </w:r>
      <w:r>
        <w:rPr>
          <w:rFonts w:ascii="Times New Roman" w:cs="Times New Roman"/>
        </w:rPr>
        <w:lastRenderedPageBreak/>
        <w:t>交材料齐全。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四、材料寄送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报考考生请按照学校招生简章所列的清单，于</w:t>
      </w:r>
      <w:r>
        <w:rPr>
          <w:rFonts w:ascii="Times New Roman" w:cs="Times New Roman" w:hint="eastAsia"/>
        </w:rPr>
        <w:t>20</w:t>
      </w:r>
      <w:r w:rsidR="004E032D">
        <w:rPr>
          <w:rFonts w:ascii="Times New Roman" w:cs="Times New Roman" w:hint="eastAsia"/>
        </w:rPr>
        <w:t>2</w:t>
      </w:r>
      <w:r w:rsidR="00DC4B4E"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 w:rsidR="004E032D"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日前递交或邮寄纸质申请材料（一式两份）到理工学院研究生管理办公室（广东省广州市天河区黄埔大道西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</w:t>
      </w:r>
      <w:proofErr w:type="gramStart"/>
      <w:r>
        <w:rPr>
          <w:rFonts w:ascii="Times New Roman" w:cs="Times New Roman" w:hint="eastAsia"/>
        </w:rPr>
        <w:t>蒙民伟理工楼</w:t>
      </w:r>
      <w:proofErr w:type="gramEnd"/>
      <w:r>
        <w:rPr>
          <w:rFonts w:ascii="Times New Roman" w:cs="Times New Roman" w:hint="eastAsia"/>
        </w:rPr>
        <w:t>110</w:t>
      </w:r>
      <w:r>
        <w:rPr>
          <w:rFonts w:ascii="Times New Roman" w:cs="Times New Roman" w:hint="eastAsia"/>
        </w:rPr>
        <w:t>室，孔老师，</w:t>
      </w:r>
      <w:r>
        <w:rPr>
          <w:rFonts w:ascii="Times New Roman" w:cs="Times New Roman" w:hint="eastAsia"/>
        </w:rPr>
        <w:t>020-85228762</w:t>
      </w:r>
      <w:r>
        <w:rPr>
          <w:rFonts w:ascii="Times New Roman" w:cs="Times New Roman" w:hint="eastAsia"/>
        </w:rPr>
        <w:t>）。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、材料审核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</w:t>
      </w:r>
      <w:r w:rsidR="00747E99">
        <w:rPr>
          <w:rFonts w:ascii="Times New Roman" w:cs="Times New Roman" w:hint="eastAsia"/>
        </w:rPr>
        <w:t>招生</w:t>
      </w:r>
      <w:r>
        <w:rPr>
          <w:rFonts w:ascii="Times New Roman" w:cs="Times New Roman"/>
        </w:rPr>
        <w:t>专业</w:t>
      </w:r>
      <w:r>
        <w:rPr>
          <w:rFonts w:ascii="Times New Roman" w:cs="Times New Roman" w:hint="eastAsia"/>
        </w:rPr>
        <w:t>制定材料审核评分标准（评分标准须提前交理工学院研究生管理办公室备案），并成立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ascii="Times New Roman" w:cs="Times New Roman" w:hint="eastAsia"/>
        </w:rPr>
        <w:t>的审核小组</w:t>
      </w:r>
      <w:r>
        <w:rPr>
          <w:rFonts w:ascii="Times New Roman" w:cs="Times New Roman"/>
        </w:rPr>
        <w:t>，分别</w:t>
      </w:r>
      <w:r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ascii="Times New Roman" w:cs="Times New Roman" w:hint="eastAsia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分别去掉单项最高分与最低分，计算各项平均分，再计算总分。按总分由高到低排序，确定复试名单。复试人数与录取人数比例原则上不超过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：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>
        <w:rPr>
          <w:rFonts w:ascii="Times New Roman" w:cs="Times New Roman"/>
          <w:b/>
        </w:rPr>
        <w:t>、复试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 w:hint="eastAsia"/>
        </w:rPr>
        <w:t xml:space="preserve">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ascii="Times New Roman" w:cs="Times New Roman" w:hint="eastAsia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ascii="Times New Roman" w:hAnsi="Times New Roman" w:cs="Times New Roman" w:hint="eastAsia"/>
        </w:rPr>
        <w:t>形式</w:t>
      </w:r>
      <w:r>
        <w:rPr>
          <w:rFonts w:ascii="Times New Roman" w:cs="Times New Roman"/>
        </w:rPr>
        <w:t>）。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学院各专业点</w:t>
      </w:r>
      <w:r>
        <w:rPr>
          <w:rFonts w:ascii="Times New Roman" w:cs="Times New Roman" w:hint="eastAsia"/>
        </w:rPr>
        <w:t>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ascii="Times New Roman" w:cs="Times New Roman" w:hint="eastAsia"/>
        </w:rPr>
        <w:t>专家</w:t>
      </w:r>
      <w:r>
        <w:rPr>
          <w:rFonts w:ascii="Times New Roman" w:cs="Times New Roman"/>
        </w:rPr>
        <w:t>对考生进行面试，分别</w:t>
      </w:r>
      <w:r>
        <w:rPr>
          <w:rFonts w:ascii="Times New Roman" w:cs="Times New Roman" w:hint="eastAsia"/>
        </w:rPr>
        <w:t>对每位考生从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</w:t>
      </w:r>
      <w:proofErr w:type="gramStart"/>
      <w:r>
        <w:rPr>
          <w:rFonts w:ascii="Times New Roman" w:cs="Times New Roman"/>
        </w:rPr>
        <w:t>每</w:t>
      </w:r>
      <w:r>
        <w:rPr>
          <w:rFonts w:ascii="Times New Roman" w:cs="Times New Roman" w:hint="eastAsia"/>
        </w:rPr>
        <w:t>方面</w:t>
      </w:r>
      <w:proofErr w:type="gramEnd"/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ascii="Times New Roman" w:cs="Times New Roman" w:hint="eastAsia"/>
        </w:rPr>
        <w:t>分别去掉单项最高分与最低分，计算各项平均分，再计算总分。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材料审核成绩与复试成绩</w:t>
      </w:r>
      <w:r>
        <w:rPr>
          <w:rFonts w:ascii="Times New Roman" w:cs="Times New Roman" w:hint="eastAsia"/>
        </w:rPr>
        <w:t>权重各占</w:t>
      </w:r>
      <w:r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 w:hint="eastAsia"/>
        </w:rPr>
        <w:t>，按</w:t>
      </w:r>
      <w:r>
        <w:rPr>
          <w:rFonts w:ascii="Times New Roman" w:cs="Times New Roman"/>
        </w:rPr>
        <w:t>相加后的总成绩排序。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>以</w:t>
      </w:r>
      <w:r>
        <w:rPr>
          <w:rFonts w:ascii="Times New Roman" w:cs="Times New Roman"/>
        </w:rPr>
        <w:t>总成绩排序由高至</w:t>
      </w:r>
      <w:proofErr w:type="gramStart"/>
      <w:r>
        <w:rPr>
          <w:rFonts w:ascii="Times New Roman" w:cs="Times New Roman"/>
        </w:rPr>
        <w:t>低确定拟</w:t>
      </w:r>
      <w:proofErr w:type="gramEnd"/>
      <w:r>
        <w:rPr>
          <w:rFonts w:ascii="Times New Roman" w:cs="Times New Roman"/>
        </w:rPr>
        <w:t>录取名单。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cs="Times New Roman"/>
        </w:rPr>
        <w:t>拟录取名单公示后，师生互选。</w:t>
      </w: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880AC2">
      <w:pPr>
        <w:spacing w:line="264" w:lineRule="auto"/>
        <w:ind w:right="105" w:firstLineChars="200" w:firstLine="48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cs="Times New Roman" w:hint="eastAsia"/>
        </w:rPr>
        <w:t>暨南大学理工学院</w:t>
      </w:r>
    </w:p>
    <w:p w:rsidR="00924A3C" w:rsidRDefault="00880AC2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E032D">
        <w:rPr>
          <w:rFonts w:ascii="Times New Roman" w:hAnsi="Times New Roman" w:cs="Times New Roman" w:hint="eastAsia"/>
        </w:rPr>
        <w:t>2</w:t>
      </w:r>
      <w:r w:rsidR="00DC4B4E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 w:rsidR="004E032D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日</w:t>
      </w:r>
    </w:p>
    <w:sectPr w:rsidR="00924A3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95" w:rsidRDefault="00503895" w:rsidP="00BB7538">
      <w:r>
        <w:separator/>
      </w:r>
    </w:p>
  </w:endnote>
  <w:endnote w:type="continuationSeparator" w:id="0">
    <w:p w:rsidR="00503895" w:rsidRDefault="00503895" w:rsidP="00B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95" w:rsidRDefault="00503895" w:rsidP="00BB7538">
      <w:r>
        <w:separator/>
      </w:r>
    </w:p>
  </w:footnote>
  <w:footnote w:type="continuationSeparator" w:id="0">
    <w:p w:rsidR="00503895" w:rsidRDefault="00503895" w:rsidP="00BB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22853"/>
    <w:rsid w:val="000717A5"/>
    <w:rsid w:val="000900CE"/>
    <w:rsid w:val="00160D59"/>
    <w:rsid w:val="00175C73"/>
    <w:rsid w:val="00175DD6"/>
    <w:rsid w:val="001A39B4"/>
    <w:rsid w:val="001B1CE2"/>
    <w:rsid w:val="001D3E18"/>
    <w:rsid w:val="002435B9"/>
    <w:rsid w:val="00277AF6"/>
    <w:rsid w:val="003A4130"/>
    <w:rsid w:val="003F4D24"/>
    <w:rsid w:val="00403995"/>
    <w:rsid w:val="00456FB7"/>
    <w:rsid w:val="004D0001"/>
    <w:rsid w:val="004E032D"/>
    <w:rsid w:val="00503895"/>
    <w:rsid w:val="00505827"/>
    <w:rsid w:val="0058403C"/>
    <w:rsid w:val="00591E9D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23B09"/>
    <w:rsid w:val="00747E99"/>
    <w:rsid w:val="00762F84"/>
    <w:rsid w:val="00771A95"/>
    <w:rsid w:val="0078756A"/>
    <w:rsid w:val="00790CEF"/>
    <w:rsid w:val="007D1302"/>
    <w:rsid w:val="007E2795"/>
    <w:rsid w:val="0081198B"/>
    <w:rsid w:val="00880AC2"/>
    <w:rsid w:val="008F55D0"/>
    <w:rsid w:val="00924A3C"/>
    <w:rsid w:val="009E0979"/>
    <w:rsid w:val="00A0537E"/>
    <w:rsid w:val="00AA1F53"/>
    <w:rsid w:val="00AF037B"/>
    <w:rsid w:val="00B326CF"/>
    <w:rsid w:val="00B6133D"/>
    <w:rsid w:val="00B93A95"/>
    <w:rsid w:val="00B94F81"/>
    <w:rsid w:val="00B9629F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C4B4E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AAD4C00"/>
    <w:rsid w:val="690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semiHidden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185</Words>
  <Characters>1055</Characters>
  <Application>Microsoft Office Word</Application>
  <DocSecurity>0</DocSecurity>
  <Lines>8</Lines>
  <Paragraphs>2</Paragraphs>
  <ScaleCrop>false</ScaleCrop>
  <Company>暨南大学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白卫滨</cp:lastModifiedBy>
  <cp:revision>46</cp:revision>
  <cp:lastPrinted>2020-11-11T02:16:00Z</cp:lastPrinted>
  <dcterms:created xsi:type="dcterms:W3CDTF">2017-11-14T00:40:00Z</dcterms:created>
  <dcterms:modified xsi:type="dcterms:W3CDTF">2020-11-11T02:18:00Z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