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79" w:rsidRDefault="00F529FE">
      <w:pPr>
        <w:wordWrap w:val="0"/>
        <w:spacing w:line="360" w:lineRule="auto"/>
        <w:ind w:firstLine="602"/>
        <w:jc w:val="center"/>
        <w:rPr>
          <w:rFonts w:ascii="宋体" w:hAnsi="宋体"/>
          <w:b/>
          <w:color w:val="000000" w:themeColor="text1"/>
          <w:sz w:val="28"/>
          <w:szCs w:val="28"/>
        </w:rPr>
      </w:pPr>
      <w:r>
        <w:rPr>
          <w:rFonts w:ascii="宋体" w:hAnsi="宋体"/>
          <w:b/>
          <w:color w:val="000000" w:themeColor="text1"/>
          <w:sz w:val="28"/>
          <w:szCs w:val="28"/>
        </w:rPr>
        <w:t>2020</w:t>
      </w:r>
      <w:r>
        <w:rPr>
          <w:rFonts w:ascii="宋体" w:hAnsi="宋体"/>
          <w:b/>
          <w:color w:val="000000" w:themeColor="text1"/>
          <w:sz w:val="28"/>
          <w:szCs w:val="28"/>
        </w:rPr>
        <w:t>年环境科学与工程学科</w:t>
      </w:r>
    </w:p>
    <w:p w:rsidR="004E2679" w:rsidRDefault="00F529FE">
      <w:pPr>
        <w:wordWrap w:val="0"/>
        <w:spacing w:line="360" w:lineRule="auto"/>
        <w:ind w:firstLine="602"/>
        <w:jc w:val="center"/>
        <w:rPr>
          <w:rFonts w:ascii="宋体" w:hAnsi="宋体"/>
          <w:b/>
          <w:color w:val="000000" w:themeColor="text1"/>
          <w:sz w:val="28"/>
          <w:szCs w:val="28"/>
        </w:rPr>
      </w:pPr>
      <w:r>
        <w:rPr>
          <w:rFonts w:ascii="宋体" w:hAnsi="宋体"/>
          <w:b/>
          <w:color w:val="000000" w:themeColor="text1"/>
          <w:sz w:val="28"/>
          <w:szCs w:val="28"/>
        </w:rPr>
        <w:t>博士研究生申请审核制和硕博连读招生工作细则</w:t>
      </w:r>
    </w:p>
    <w:p w:rsidR="004E2679" w:rsidRPr="00297522" w:rsidRDefault="004E2679">
      <w:pPr>
        <w:wordWrap w:val="0"/>
        <w:spacing w:line="264" w:lineRule="auto"/>
        <w:ind w:firstLine="480"/>
        <w:jc w:val="left"/>
        <w:rPr>
          <w:rFonts w:ascii="宋体" w:hAnsi="宋体"/>
          <w:color w:val="000000" w:themeColor="text1"/>
          <w:sz w:val="24"/>
          <w:szCs w:val="24"/>
        </w:rPr>
      </w:pP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根据学校博士招生简章相关规定，结合环境科学与工程学科特点，为做好博士审核制及硕博连读招生工作，特制定如下工作细则。</w:t>
      </w:r>
    </w:p>
    <w:p w:rsidR="004E2679" w:rsidRDefault="00F529FE">
      <w:pPr>
        <w:wordWrap w:val="0"/>
        <w:spacing w:line="360" w:lineRule="auto"/>
        <w:ind w:firstLine="482"/>
        <w:jc w:val="left"/>
        <w:rPr>
          <w:rFonts w:ascii="宋体" w:hAnsi="宋体"/>
          <w:b/>
          <w:color w:val="000000" w:themeColor="text1"/>
          <w:sz w:val="24"/>
          <w:szCs w:val="24"/>
        </w:rPr>
      </w:pPr>
      <w:r>
        <w:rPr>
          <w:rFonts w:ascii="宋体" w:hAnsi="宋体"/>
          <w:b/>
          <w:color w:val="000000" w:themeColor="text1"/>
          <w:sz w:val="24"/>
          <w:szCs w:val="24"/>
        </w:rPr>
        <w:t>一、培养目标</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为培养德智体美劳全面发展，在环境科学与工程学科上掌握坚实的理论基础和系统深入的专业知识，具有从事科学研究、教学及管理工作能力的高层次创新人才。</w:t>
      </w:r>
    </w:p>
    <w:p w:rsidR="004E2679" w:rsidRDefault="00F529FE">
      <w:pPr>
        <w:wordWrap w:val="0"/>
        <w:spacing w:line="360" w:lineRule="auto"/>
        <w:ind w:firstLine="482"/>
        <w:jc w:val="left"/>
        <w:rPr>
          <w:rFonts w:ascii="宋体" w:hAnsi="宋体"/>
          <w:b/>
          <w:color w:val="000000" w:themeColor="text1"/>
          <w:sz w:val="24"/>
          <w:szCs w:val="24"/>
        </w:rPr>
      </w:pPr>
      <w:r>
        <w:rPr>
          <w:rFonts w:ascii="宋体" w:hAnsi="宋体"/>
          <w:b/>
          <w:color w:val="000000" w:themeColor="text1"/>
          <w:sz w:val="24"/>
          <w:szCs w:val="24"/>
        </w:rPr>
        <w:t>二、领导机构</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环境与气候研究院成立招生领导小组，结合专业特点和实际制定招生工作细则，内容包括：审核制和硕博连读考生的报考条件、审核条件、复试要求等。根据招生方向特点，相关招生方向成立招生工作小组，负责申请人员的材料审核和面试等</w:t>
      </w:r>
      <w:r>
        <w:rPr>
          <w:rFonts w:ascii="宋体" w:eastAsia="Times New Roman"/>
          <w:color w:val="000000" w:themeColor="text1"/>
          <w:sz w:val="24"/>
          <w:szCs w:val="24"/>
        </w:rPr>
        <w:t>工作</w:t>
      </w:r>
      <w:r>
        <w:rPr>
          <w:rFonts w:ascii="宋体" w:hAnsi="宋体"/>
          <w:color w:val="000000" w:themeColor="text1"/>
          <w:sz w:val="24"/>
          <w:szCs w:val="24"/>
        </w:rPr>
        <w:t>。</w:t>
      </w:r>
    </w:p>
    <w:p w:rsidR="004E2679" w:rsidRDefault="00F529FE">
      <w:pPr>
        <w:wordWrap w:val="0"/>
        <w:spacing w:line="360" w:lineRule="auto"/>
        <w:ind w:firstLine="560"/>
        <w:rPr>
          <w:rFonts w:ascii="宋体" w:hAnsi="宋体"/>
          <w:color w:val="000000" w:themeColor="text1"/>
          <w:sz w:val="24"/>
          <w:szCs w:val="24"/>
        </w:rPr>
      </w:pPr>
      <w:r>
        <w:rPr>
          <w:rFonts w:ascii="宋体" w:hAnsi="宋体"/>
          <w:b/>
          <w:color w:val="000000" w:themeColor="text1"/>
          <w:sz w:val="24"/>
          <w:szCs w:val="24"/>
        </w:rPr>
        <w:t>三、报考基本条件及审核条件</w:t>
      </w:r>
    </w:p>
    <w:p w:rsidR="004E2679" w:rsidRDefault="00F529FE">
      <w:pPr>
        <w:wordWrap w:val="0"/>
        <w:spacing w:line="360" w:lineRule="auto"/>
        <w:ind w:firstLine="280"/>
        <w:jc w:val="left"/>
        <w:rPr>
          <w:rFonts w:ascii="宋体" w:hAnsi="宋体"/>
          <w:color w:val="000000" w:themeColor="text1"/>
          <w:sz w:val="24"/>
          <w:szCs w:val="24"/>
        </w:rPr>
      </w:pPr>
      <w:r>
        <w:rPr>
          <w:rFonts w:ascii="宋体" w:hAnsi="宋体"/>
          <w:b/>
          <w:color w:val="000000" w:themeColor="text1"/>
          <w:sz w:val="24"/>
          <w:szCs w:val="24"/>
        </w:rPr>
        <w:t>（一）基本条件：</w:t>
      </w:r>
      <w:r>
        <w:rPr>
          <w:rFonts w:ascii="宋体" w:hAnsi="宋体"/>
          <w:color w:val="000000" w:themeColor="text1"/>
          <w:sz w:val="24"/>
          <w:szCs w:val="24"/>
        </w:rPr>
        <w:t>按学校招生简章等相关规定</w:t>
      </w:r>
      <w:r>
        <w:rPr>
          <w:rFonts w:ascii="宋体" w:eastAsia="Times New Roman"/>
          <w:color w:val="000000" w:themeColor="text1"/>
          <w:sz w:val="24"/>
          <w:szCs w:val="24"/>
        </w:rPr>
        <w:t>执行</w:t>
      </w:r>
      <w:r>
        <w:rPr>
          <w:rFonts w:ascii="宋体" w:hAnsi="宋体"/>
          <w:color w:val="000000" w:themeColor="text1"/>
          <w:sz w:val="24"/>
          <w:szCs w:val="24"/>
        </w:rPr>
        <w:t>。</w:t>
      </w:r>
    </w:p>
    <w:p w:rsidR="004E2679" w:rsidRDefault="00F529FE">
      <w:pPr>
        <w:wordWrap w:val="0"/>
        <w:spacing w:line="360" w:lineRule="auto"/>
        <w:ind w:firstLine="281"/>
        <w:jc w:val="left"/>
        <w:rPr>
          <w:rFonts w:ascii="宋体" w:hAnsi="宋体"/>
          <w:b/>
          <w:color w:val="000000" w:themeColor="text1"/>
          <w:sz w:val="24"/>
          <w:szCs w:val="24"/>
        </w:rPr>
      </w:pPr>
      <w:r>
        <w:rPr>
          <w:rFonts w:ascii="宋体" w:hAnsi="宋体"/>
          <w:b/>
          <w:color w:val="000000" w:themeColor="text1"/>
          <w:sz w:val="24"/>
          <w:szCs w:val="24"/>
        </w:rPr>
        <w:t>（二）申请审核制审核条件</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招生对象：学术型专业面向符合报考条件的应、往届学术型硕士、专业学位硕士；不接受同等学力考生报名；录取类别为非定向全日制。</w:t>
      </w:r>
    </w:p>
    <w:p w:rsidR="004E2679" w:rsidRDefault="00F529FE">
      <w:pPr>
        <w:wordWrap w:val="0"/>
        <w:spacing w:line="360" w:lineRule="auto"/>
        <w:ind w:firstLine="521"/>
        <w:jc w:val="left"/>
        <w:rPr>
          <w:rFonts w:ascii="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审核基本要求</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1</w:t>
      </w:r>
      <w:r>
        <w:rPr>
          <w:rFonts w:ascii="宋体" w:hAnsi="宋体"/>
          <w:color w:val="000000" w:themeColor="text1"/>
          <w:sz w:val="24"/>
          <w:szCs w:val="24"/>
        </w:rPr>
        <w:t>）专业基础扎实，学习成绩优秀；</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lastRenderedPageBreak/>
        <w:t>（</w:t>
      </w:r>
      <w:r>
        <w:rPr>
          <w:rFonts w:ascii="宋体" w:hAnsi="宋体"/>
          <w:color w:val="000000" w:themeColor="text1"/>
          <w:sz w:val="24"/>
          <w:szCs w:val="24"/>
        </w:rPr>
        <w:t>2</w:t>
      </w:r>
      <w:r>
        <w:rPr>
          <w:rFonts w:ascii="宋体" w:hAnsi="宋体"/>
          <w:color w:val="000000" w:themeColor="text1"/>
          <w:sz w:val="24"/>
          <w:szCs w:val="24"/>
        </w:rPr>
        <w:t>）</w:t>
      </w:r>
      <w:r>
        <w:rPr>
          <w:rFonts w:ascii="宋体" w:hAnsi="宋体"/>
          <w:color w:val="000000" w:themeColor="text1"/>
          <w:sz w:val="24"/>
          <w:szCs w:val="24"/>
        </w:rPr>
        <w:t>1</w:t>
      </w:r>
      <w:r>
        <w:rPr>
          <w:rFonts w:ascii="宋体" w:hAnsi="宋体"/>
          <w:color w:val="000000" w:themeColor="text1"/>
          <w:sz w:val="24"/>
          <w:szCs w:val="24"/>
        </w:rPr>
        <w:t>篇</w:t>
      </w:r>
      <w:r>
        <w:rPr>
          <w:rFonts w:ascii="宋体" w:hAnsi="宋体"/>
          <w:color w:val="000000" w:themeColor="text1"/>
          <w:sz w:val="24"/>
          <w:szCs w:val="24"/>
        </w:rPr>
        <w:t>已公开发表的学术论文代表作（一作或通讯作者），或者</w:t>
      </w:r>
      <w:r>
        <w:rPr>
          <w:rFonts w:ascii="宋体" w:hAnsi="宋体"/>
          <w:color w:val="000000" w:themeColor="text1"/>
          <w:sz w:val="24"/>
          <w:szCs w:val="24"/>
        </w:rPr>
        <w:t>JCR-SCI</w:t>
      </w:r>
      <w:r>
        <w:rPr>
          <w:rFonts w:ascii="宋体" w:hAnsi="宋体"/>
          <w:color w:val="000000" w:themeColor="text1"/>
          <w:sz w:val="24"/>
          <w:szCs w:val="24"/>
        </w:rPr>
        <w:t>分区</w:t>
      </w:r>
      <w:r>
        <w:rPr>
          <w:rFonts w:ascii="宋体" w:hAnsi="宋体"/>
          <w:color w:val="000000" w:themeColor="text1"/>
          <w:sz w:val="24"/>
          <w:szCs w:val="24"/>
        </w:rPr>
        <w:t>A</w:t>
      </w:r>
      <w:r>
        <w:rPr>
          <w:rFonts w:ascii="宋体" w:hAnsi="宋体"/>
          <w:color w:val="000000" w:themeColor="text1"/>
          <w:sz w:val="24"/>
          <w:szCs w:val="24"/>
        </w:rPr>
        <w:t>类以上期刊的，</w:t>
      </w:r>
      <w:r>
        <w:rPr>
          <w:rFonts w:ascii="宋体" w:eastAsia="Times New Roman"/>
          <w:color w:val="000000" w:themeColor="text1"/>
          <w:sz w:val="24"/>
          <w:szCs w:val="24"/>
        </w:rPr>
        <w:t>可以</w:t>
      </w:r>
      <w:r>
        <w:rPr>
          <w:rFonts w:ascii="宋体" w:hAnsi="宋体"/>
          <w:color w:val="000000" w:themeColor="text1"/>
          <w:sz w:val="24"/>
          <w:szCs w:val="24"/>
        </w:rPr>
        <w:t>导师一作学生二作；</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3</w:t>
      </w:r>
      <w:r>
        <w:rPr>
          <w:rFonts w:ascii="宋体" w:hAnsi="宋体"/>
          <w:color w:val="000000" w:themeColor="text1"/>
          <w:sz w:val="24"/>
          <w:szCs w:val="24"/>
        </w:rPr>
        <w:t>）政审合格，两封正高职称专家亲笔署名的推荐信，拟攻读博士研究计划等其他应交材料齐全；</w:t>
      </w:r>
    </w:p>
    <w:p w:rsidR="004E2679" w:rsidRDefault="00F529FE">
      <w:pPr>
        <w:wordWrap w:val="0"/>
        <w:spacing w:line="360" w:lineRule="auto"/>
        <w:ind w:firstLine="480"/>
        <w:jc w:val="left"/>
        <w:rPr>
          <w:rFonts w:ascii="宋体" w:hAnsi="宋体"/>
          <w:b/>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4</w:t>
      </w:r>
      <w:r>
        <w:rPr>
          <w:rFonts w:ascii="宋体" w:hAnsi="宋体"/>
          <w:color w:val="000000" w:themeColor="text1"/>
          <w:sz w:val="24"/>
          <w:szCs w:val="24"/>
        </w:rPr>
        <w:t>）在职人员如被录取须辞去原单位工作，并按规定时间提交辞职证明并将人事档案转入我校，全脱产学习。</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b/>
          <w:color w:val="000000" w:themeColor="text1"/>
          <w:sz w:val="24"/>
          <w:szCs w:val="24"/>
        </w:rPr>
        <w:t>（三）硕博连读审核条件</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．招生对象：面向符合报考条件的暨南大学非定向全日制学术型硕士在校生，录取类别为非定向全日制。</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．审核基本要求</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1</w:t>
      </w:r>
      <w:r>
        <w:rPr>
          <w:rFonts w:ascii="宋体" w:hAnsi="宋体"/>
          <w:color w:val="000000" w:themeColor="text1"/>
          <w:sz w:val="24"/>
          <w:szCs w:val="24"/>
        </w:rPr>
        <w:t>）学习态度端正，学风严谨，能够按照要求完成必修课程（公共学位课和专业学位课）并取得规定的学分，成绩优良；</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w:t>
      </w:r>
      <w:r>
        <w:rPr>
          <w:rFonts w:ascii="宋体" w:hAnsi="宋体"/>
          <w:color w:val="000000" w:themeColor="text1"/>
          <w:sz w:val="24"/>
          <w:szCs w:val="24"/>
        </w:rPr>
        <w:t>2</w:t>
      </w:r>
      <w:r>
        <w:rPr>
          <w:rFonts w:ascii="宋体" w:hAnsi="宋体"/>
          <w:color w:val="000000" w:themeColor="text1"/>
          <w:sz w:val="24"/>
          <w:szCs w:val="24"/>
        </w:rPr>
        <w:t>）政审合格，有</w:t>
      </w:r>
      <w:r>
        <w:rPr>
          <w:rFonts w:ascii="宋体" w:hAnsi="宋体"/>
          <w:color w:val="000000" w:themeColor="text1"/>
          <w:sz w:val="24"/>
          <w:szCs w:val="24"/>
        </w:rPr>
        <w:t>2</w:t>
      </w:r>
      <w:r>
        <w:rPr>
          <w:rFonts w:ascii="宋体" w:hAnsi="宋体"/>
          <w:color w:val="000000" w:themeColor="text1"/>
          <w:sz w:val="24"/>
          <w:szCs w:val="24"/>
        </w:rPr>
        <w:t>位正高职称专家推荐信，拟攻读博士研究计划等其他应交材料齐全。</w:t>
      </w:r>
    </w:p>
    <w:p w:rsidR="004E2679" w:rsidRDefault="00F529FE">
      <w:pPr>
        <w:wordWrap w:val="0"/>
        <w:spacing w:line="360" w:lineRule="auto"/>
        <w:ind w:firstLine="482"/>
        <w:jc w:val="left"/>
        <w:rPr>
          <w:rFonts w:ascii="宋体" w:hAnsi="宋体"/>
          <w:b/>
          <w:color w:val="000000" w:themeColor="text1"/>
          <w:sz w:val="24"/>
          <w:szCs w:val="24"/>
        </w:rPr>
      </w:pPr>
      <w:r>
        <w:rPr>
          <w:rFonts w:ascii="宋体" w:hAnsi="宋体"/>
          <w:b/>
          <w:color w:val="000000" w:themeColor="text1"/>
          <w:sz w:val="24"/>
          <w:szCs w:val="24"/>
        </w:rPr>
        <w:t>四、材料审核</w:t>
      </w:r>
    </w:p>
    <w:p w:rsidR="004E2679" w:rsidRDefault="00F529FE">
      <w:pPr>
        <w:wordWrap w:val="0"/>
        <w:spacing w:line="360" w:lineRule="auto"/>
        <w:ind w:firstLine="482"/>
        <w:jc w:val="left"/>
        <w:rPr>
          <w:rFonts w:ascii="宋体" w:hAnsi="宋体"/>
          <w:color w:val="000000" w:themeColor="text1"/>
          <w:sz w:val="24"/>
          <w:szCs w:val="24"/>
        </w:rPr>
      </w:pPr>
      <w:r>
        <w:rPr>
          <w:rFonts w:ascii="宋体" w:hAnsi="宋体"/>
          <w:color w:val="000000" w:themeColor="text1"/>
          <w:sz w:val="24"/>
          <w:szCs w:val="24"/>
        </w:rPr>
        <w:t>组织不少于</w:t>
      </w:r>
      <w:r>
        <w:rPr>
          <w:rFonts w:ascii="宋体" w:hAnsi="宋体"/>
          <w:color w:val="000000" w:themeColor="text1"/>
          <w:sz w:val="24"/>
          <w:szCs w:val="24"/>
        </w:rPr>
        <w:t>7</w:t>
      </w:r>
      <w:r>
        <w:rPr>
          <w:rFonts w:ascii="宋体" w:hAnsi="宋体"/>
          <w:color w:val="000000" w:themeColor="text1"/>
          <w:sz w:val="24"/>
          <w:szCs w:val="24"/>
        </w:rPr>
        <w:t>位专家对申请材料进行审核，分别给出外语水平、专业素质、研究潜力三个方面的成绩。实行每位导师独立评分，按总分由高到低排序，确定复试名单。复试人数与录取人数比例原则上不超过</w:t>
      </w:r>
      <w:r>
        <w:rPr>
          <w:rFonts w:ascii="宋体" w:hAnsi="宋体"/>
          <w:color w:val="000000" w:themeColor="text1"/>
          <w:sz w:val="24"/>
          <w:szCs w:val="24"/>
        </w:rPr>
        <w:t>2</w:t>
      </w:r>
      <w:r>
        <w:rPr>
          <w:rFonts w:ascii="宋体" w:hAnsi="宋体"/>
          <w:color w:val="000000" w:themeColor="text1"/>
          <w:sz w:val="24"/>
          <w:szCs w:val="24"/>
        </w:rPr>
        <w:t>：</w:t>
      </w:r>
      <w:r>
        <w:rPr>
          <w:rFonts w:ascii="宋体" w:hAnsi="宋体"/>
          <w:color w:val="000000" w:themeColor="text1"/>
          <w:sz w:val="24"/>
          <w:szCs w:val="24"/>
        </w:rPr>
        <w:t>1</w:t>
      </w:r>
      <w:r>
        <w:rPr>
          <w:rFonts w:ascii="宋体" w:hAnsi="宋体"/>
          <w:color w:val="000000" w:themeColor="text1"/>
          <w:sz w:val="24"/>
          <w:szCs w:val="24"/>
        </w:rPr>
        <w:t>，经招生工作领导小组批准后，可适当扩大。</w:t>
      </w:r>
    </w:p>
    <w:p w:rsidR="004E2679" w:rsidRDefault="00F529FE">
      <w:pPr>
        <w:wordWrap w:val="0"/>
        <w:spacing w:line="360" w:lineRule="auto"/>
        <w:ind w:firstLine="482"/>
        <w:jc w:val="left"/>
        <w:rPr>
          <w:rFonts w:ascii="宋体" w:hAnsi="宋体"/>
          <w:b/>
          <w:color w:val="000000" w:themeColor="text1"/>
          <w:sz w:val="24"/>
          <w:szCs w:val="24"/>
        </w:rPr>
      </w:pPr>
      <w:r>
        <w:rPr>
          <w:rFonts w:ascii="宋体" w:hAnsi="宋体"/>
          <w:b/>
          <w:color w:val="000000" w:themeColor="text1"/>
          <w:sz w:val="24"/>
          <w:szCs w:val="24"/>
        </w:rPr>
        <w:t>五、复试</w:t>
      </w:r>
    </w:p>
    <w:p w:rsidR="004E2679" w:rsidRDefault="00F529FE">
      <w:pPr>
        <w:wordWrap w:val="0"/>
        <w:spacing w:line="360" w:lineRule="auto"/>
        <w:ind w:firstLine="560"/>
        <w:jc w:val="lef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每位考生复试时间不少于</w:t>
      </w:r>
      <w:r>
        <w:rPr>
          <w:rFonts w:ascii="宋体" w:hAnsi="宋体"/>
          <w:color w:val="000000" w:themeColor="text1"/>
          <w:sz w:val="24"/>
          <w:szCs w:val="24"/>
        </w:rPr>
        <w:t>30</w:t>
      </w:r>
      <w:r>
        <w:rPr>
          <w:rFonts w:ascii="宋体" w:hAnsi="宋体"/>
          <w:color w:val="000000" w:themeColor="text1"/>
          <w:sz w:val="24"/>
          <w:szCs w:val="24"/>
        </w:rPr>
        <w:t>分钟，其中每人不少于</w:t>
      </w:r>
      <w:r>
        <w:rPr>
          <w:rFonts w:ascii="宋体" w:hAnsi="宋体"/>
          <w:color w:val="000000" w:themeColor="text1"/>
          <w:sz w:val="24"/>
          <w:szCs w:val="24"/>
        </w:rPr>
        <w:t>15</w:t>
      </w:r>
      <w:r>
        <w:rPr>
          <w:rFonts w:ascii="宋体" w:hAnsi="宋体"/>
          <w:color w:val="000000" w:themeColor="text1"/>
          <w:sz w:val="24"/>
          <w:szCs w:val="24"/>
        </w:rPr>
        <w:t>分钟学术情况汇</w:t>
      </w:r>
      <w:r>
        <w:rPr>
          <w:rFonts w:ascii="宋体" w:hAnsi="宋体"/>
          <w:color w:val="000000" w:themeColor="text1"/>
          <w:sz w:val="24"/>
          <w:szCs w:val="24"/>
        </w:rPr>
        <w:t>报（</w:t>
      </w:r>
      <w:r>
        <w:rPr>
          <w:rFonts w:ascii="宋体" w:hAnsi="宋体"/>
          <w:color w:val="000000" w:themeColor="text1"/>
          <w:sz w:val="24"/>
          <w:szCs w:val="24"/>
        </w:rPr>
        <w:t>PPT</w:t>
      </w:r>
      <w:r>
        <w:rPr>
          <w:rFonts w:ascii="宋体" w:hAnsi="宋体"/>
          <w:color w:val="000000" w:themeColor="text1"/>
          <w:sz w:val="24"/>
          <w:szCs w:val="24"/>
        </w:rPr>
        <w:t>形式）；</w:t>
      </w:r>
    </w:p>
    <w:p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lastRenderedPageBreak/>
        <w:t>2.</w:t>
      </w:r>
      <w:r>
        <w:rPr>
          <w:rFonts w:ascii="宋体" w:hAnsi="宋体"/>
          <w:color w:val="000000" w:themeColor="text1"/>
          <w:sz w:val="24"/>
          <w:szCs w:val="24"/>
        </w:rPr>
        <w:t>复试以面试为主，可视需要实行笔试；</w:t>
      </w:r>
    </w:p>
    <w:p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t>3.</w:t>
      </w:r>
      <w:r>
        <w:rPr>
          <w:rFonts w:ascii="宋体" w:hAnsi="宋体"/>
          <w:color w:val="000000" w:themeColor="text1"/>
          <w:sz w:val="24"/>
          <w:szCs w:val="24"/>
        </w:rPr>
        <w:t>跨学科人员可增加专业知识笔试，成绩不计入复试成绩，作为专家评分的参考；</w:t>
      </w:r>
    </w:p>
    <w:p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t>4.</w:t>
      </w:r>
      <w:r>
        <w:rPr>
          <w:rFonts w:ascii="宋体" w:hAnsi="宋体"/>
          <w:color w:val="000000" w:themeColor="text1"/>
          <w:sz w:val="24"/>
          <w:szCs w:val="24"/>
        </w:rPr>
        <w:t>成立不少于</w:t>
      </w:r>
      <w:r>
        <w:rPr>
          <w:rFonts w:ascii="宋体" w:hAnsi="宋体"/>
          <w:color w:val="000000" w:themeColor="text1"/>
          <w:sz w:val="24"/>
          <w:szCs w:val="24"/>
        </w:rPr>
        <w:t>7</w:t>
      </w:r>
      <w:r>
        <w:rPr>
          <w:rFonts w:ascii="宋体" w:hAnsi="宋体"/>
          <w:color w:val="000000" w:themeColor="text1"/>
          <w:sz w:val="24"/>
          <w:szCs w:val="24"/>
        </w:rPr>
        <w:t>位专家的面试小组，分别对每位考生从外语、专业素质、研究潜力三个方面独立评分，专家评分成绩作为面试成绩；</w:t>
      </w:r>
    </w:p>
    <w:p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t>5.</w:t>
      </w:r>
      <w:r>
        <w:rPr>
          <w:rFonts w:ascii="宋体" w:hAnsi="宋体"/>
          <w:color w:val="000000" w:themeColor="text1"/>
          <w:sz w:val="24"/>
          <w:szCs w:val="24"/>
        </w:rPr>
        <w:t>申请审核和硕博连读研究生按材料审核成绩与复试成绩相加后的总成绩排序，审核与面试的分数所占比重为</w:t>
      </w:r>
      <w:r>
        <w:rPr>
          <w:rFonts w:ascii="宋体" w:hAnsi="宋体"/>
          <w:color w:val="000000" w:themeColor="text1"/>
          <w:sz w:val="24"/>
          <w:szCs w:val="24"/>
        </w:rPr>
        <w:t>50%</w:t>
      </w:r>
      <w:r>
        <w:rPr>
          <w:rFonts w:ascii="宋体" w:hAnsi="宋体"/>
          <w:color w:val="000000" w:themeColor="text1"/>
          <w:sz w:val="24"/>
          <w:szCs w:val="24"/>
        </w:rPr>
        <w:t>：</w:t>
      </w:r>
      <w:r>
        <w:rPr>
          <w:rFonts w:ascii="宋体" w:hAnsi="宋体"/>
          <w:color w:val="000000" w:themeColor="text1"/>
          <w:sz w:val="24"/>
          <w:szCs w:val="24"/>
        </w:rPr>
        <w:t>50%</w:t>
      </w:r>
      <w:r>
        <w:rPr>
          <w:rFonts w:ascii="宋体" w:hAnsi="宋体"/>
          <w:color w:val="000000" w:themeColor="text1"/>
          <w:sz w:val="24"/>
          <w:szCs w:val="24"/>
        </w:rPr>
        <w:t>，录取时按照分数从高到低的原则排序，确定拟录取名单；</w:t>
      </w:r>
    </w:p>
    <w:p w:rsidR="004E2679" w:rsidRDefault="00F529FE">
      <w:pPr>
        <w:wordWrap w:val="0"/>
        <w:spacing w:line="360" w:lineRule="auto"/>
        <w:ind w:firstLine="549"/>
        <w:rPr>
          <w:rFonts w:ascii="宋体" w:hAnsi="宋体"/>
          <w:color w:val="000000" w:themeColor="text1"/>
          <w:sz w:val="24"/>
          <w:szCs w:val="24"/>
        </w:rPr>
      </w:pPr>
      <w:r>
        <w:rPr>
          <w:rFonts w:ascii="宋体" w:hAnsi="宋体"/>
          <w:color w:val="000000" w:themeColor="text1"/>
          <w:sz w:val="24"/>
          <w:szCs w:val="24"/>
        </w:rPr>
        <w:t>6.</w:t>
      </w:r>
      <w:r>
        <w:rPr>
          <w:rFonts w:ascii="宋体" w:hAnsi="宋体"/>
          <w:color w:val="000000" w:themeColor="text1"/>
          <w:sz w:val="24"/>
          <w:szCs w:val="24"/>
        </w:rPr>
        <w:t>报名时不要求选择导师，待拟录取名单公示后，再选择导师（师生互选）。</w:t>
      </w:r>
    </w:p>
    <w:p w:rsidR="004E2679" w:rsidRDefault="00F529FE">
      <w:pPr>
        <w:wordWrap w:val="0"/>
        <w:spacing w:line="360" w:lineRule="auto"/>
        <w:ind w:firstLine="482"/>
        <w:jc w:val="left"/>
        <w:rPr>
          <w:rFonts w:ascii="宋体"/>
          <w:b/>
          <w:color w:val="000000" w:themeColor="text1"/>
          <w:sz w:val="24"/>
          <w:szCs w:val="24"/>
        </w:rPr>
      </w:pPr>
      <w:r>
        <w:rPr>
          <w:rFonts w:ascii="宋体" w:hAnsi="宋体"/>
          <w:b/>
          <w:color w:val="000000" w:themeColor="text1"/>
          <w:sz w:val="24"/>
          <w:szCs w:val="24"/>
        </w:rPr>
        <w:t>六、材料寄送</w:t>
      </w:r>
    </w:p>
    <w:p w:rsidR="004E2679" w:rsidRDefault="00F529FE">
      <w:pPr>
        <w:wordWrap w:val="0"/>
        <w:spacing w:line="360" w:lineRule="auto"/>
        <w:ind w:firstLine="480"/>
        <w:jc w:val="left"/>
        <w:rPr>
          <w:rFonts w:ascii="宋体" w:hAnsi="宋体"/>
          <w:color w:val="000000" w:themeColor="text1"/>
          <w:sz w:val="24"/>
          <w:szCs w:val="24"/>
        </w:rPr>
      </w:pPr>
      <w:r>
        <w:rPr>
          <w:rFonts w:ascii="宋体" w:hAnsi="宋体"/>
          <w:color w:val="000000" w:themeColor="text1"/>
          <w:sz w:val="24"/>
          <w:szCs w:val="24"/>
        </w:rPr>
        <w:t>考生将申请</w:t>
      </w:r>
      <w:bookmarkStart w:id="0" w:name="_GoBack"/>
      <w:bookmarkEnd w:id="0"/>
      <w:r>
        <w:rPr>
          <w:rFonts w:ascii="宋体" w:hAnsi="宋体"/>
          <w:color w:val="000000" w:themeColor="text1"/>
          <w:sz w:val="24"/>
          <w:szCs w:val="24"/>
        </w:rPr>
        <w:t>材料寄至：广东省广州市兴业大道东</w:t>
      </w:r>
      <w:r>
        <w:rPr>
          <w:rFonts w:ascii="宋体" w:hAnsi="宋体"/>
          <w:color w:val="000000" w:themeColor="text1"/>
          <w:sz w:val="24"/>
          <w:szCs w:val="24"/>
        </w:rPr>
        <w:t>855</w:t>
      </w:r>
      <w:r>
        <w:rPr>
          <w:rFonts w:ascii="宋体" w:hAnsi="宋体"/>
          <w:color w:val="000000" w:themeColor="text1"/>
          <w:sz w:val="24"/>
          <w:szCs w:val="24"/>
        </w:rPr>
        <w:t>号暨南大学番禺校区学院楼</w:t>
      </w:r>
      <w:r>
        <w:rPr>
          <w:rFonts w:ascii="宋体" w:hAnsi="宋体"/>
          <w:color w:val="000000" w:themeColor="text1"/>
          <w:sz w:val="24"/>
          <w:szCs w:val="24"/>
        </w:rPr>
        <w:t>B1</w:t>
      </w:r>
      <w:r>
        <w:rPr>
          <w:rFonts w:ascii="宋体" w:hAnsi="宋体"/>
          <w:color w:val="000000" w:themeColor="text1"/>
          <w:sz w:val="24"/>
          <w:szCs w:val="24"/>
        </w:rPr>
        <w:t>栋</w:t>
      </w:r>
      <w:r>
        <w:rPr>
          <w:rFonts w:ascii="宋体" w:hAnsi="宋体"/>
          <w:color w:val="000000" w:themeColor="text1"/>
          <w:sz w:val="24"/>
          <w:szCs w:val="24"/>
        </w:rPr>
        <w:t>2101</w:t>
      </w:r>
      <w:r>
        <w:rPr>
          <w:rFonts w:ascii="宋体" w:hAnsi="宋体"/>
          <w:color w:val="000000" w:themeColor="text1"/>
          <w:sz w:val="24"/>
          <w:szCs w:val="24"/>
        </w:rPr>
        <w:t>室，环境与气候研究院招生管理办公室，邵老师（收）。联系电话：</w:t>
      </w:r>
      <w:r>
        <w:rPr>
          <w:rFonts w:ascii="宋体" w:hAnsi="宋体"/>
          <w:color w:val="000000" w:themeColor="text1"/>
          <w:sz w:val="24"/>
          <w:szCs w:val="24"/>
        </w:rPr>
        <w:t>020-37336650</w:t>
      </w:r>
      <w:r>
        <w:rPr>
          <w:rFonts w:ascii="宋体" w:hAnsi="宋体"/>
          <w:color w:val="000000" w:themeColor="text1"/>
          <w:sz w:val="24"/>
          <w:szCs w:val="24"/>
        </w:rPr>
        <w:t>。</w:t>
      </w:r>
    </w:p>
    <w:p w:rsidR="004E2679" w:rsidRDefault="004E2679">
      <w:pPr>
        <w:wordWrap w:val="0"/>
        <w:spacing w:line="360" w:lineRule="auto"/>
        <w:ind w:firstLine="480"/>
        <w:jc w:val="right"/>
        <w:rPr>
          <w:rFonts w:ascii="宋体" w:hAnsi="宋体"/>
          <w:color w:val="000000" w:themeColor="text1"/>
          <w:sz w:val="24"/>
          <w:szCs w:val="24"/>
        </w:rPr>
      </w:pPr>
    </w:p>
    <w:p w:rsidR="004E2679" w:rsidRDefault="00F529FE">
      <w:pPr>
        <w:wordWrap w:val="0"/>
        <w:spacing w:line="360" w:lineRule="auto"/>
        <w:ind w:firstLine="480"/>
        <w:jc w:val="right"/>
        <w:rPr>
          <w:rFonts w:ascii="宋体" w:hAnsi="宋体"/>
          <w:color w:val="000000" w:themeColor="text1"/>
          <w:sz w:val="24"/>
          <w:szCs w:val="24"/>
        </w:rPr>
      </w:pPr>
      <w:r>
        <w:rPr>
          <w:rFonts w:ascii="宋体" w:hAnsi="宋体"/>
          <w:color w:val="000000" w:themeColor="text1"/>
          <w:sz w:val="24"/>
          <w:szCs w:val="24"/>
        </w:rPr>
        <w:t>环境与气候研究院</w:t>
      </w:r>
    </w:p>
    <w:p w:rsidR="004E2679" w:rsidRDefault="00F529FE">
      <w:pPr>
        <w:wordWrap w:val="0"/>
        <w:spacing w:line="360" w:lineRule="auto"/>
        <w:ind w:firstLine="480"/>
        <w:jc w:val="right"/>
        <w:rPr>
          <w:rFonts w:ascii="宋体" w:hAnsi="宋体"/>
          <w:color w:val="000000" w:themeColor="text1"/>
          <w:sz w:val="24"/>
          <w:szCs w:val="24"/>
        </w:rPr>
      </w:pPr>
      <w:r>
        <w:rPr>
          <w:rFonts w:ascii="宋体" w:hAnsi="宋体"/>
          <w:color w:val="000000" w:themeColor="text1"/>
          <w:sz w:val="24"/>
          <w:szCs w:val="24"/>
        </w:rPr>
        <w:t>2019</w:t>
      </w:r>
      <w:r>
        <w:rPr>
          <w:rFonts w:ascii="宋体" w:hAnsi="宋体"/>
          <w:color w:val="000000" w:themeColor="text1"/>
          <w:sz w:val="24"/>
          <w:szCs w:val="24"/>
        </w:rPr>
        <w:t>年</w:t>
      </w:r>
      <w:r>
        <w:rPr>
          <w:rFonts w:ascii="宋体" w:hAnsi="宋体"/>
          <w:color w:val="000000" w:themeColor="text1"/>
          <w:sz w:val="24"/>
          <w:szCs w:val="24"/>
        </w:rPr>
        <w:t>11</w:t>
      </w:r>
      <w:r>
        <w:rPr>
          <w:rFonts w:ascii="宋体" w:hAnsi="宋体"/>
          <w:color w:val="000000" w:themeColor="text1"/>
          <w:sz w:val="24"/>
          <w:szCs w:val="24"/>
        </w:rPr>
        <w:t>月</w:t>
      </w:r>
    </w:p>
    <w:p w:rsidR="004E2679" w:rsidRDefault="004E2679">
      <w:pPr>
        <w:wordWrap w:val="0"/>
        <w:spacing w:line="360" w:lineRule="auto"/>
        <w:ind w:firstLine="480"/>
        <w:jc w:val="left"/>
        <w:rPr>
          <w:rFonts w:ascii="宋体" w:hAnsi="宋体"/>
          <w:color w:val="000000" w:themeColor="text1"/>
          <w:sz w:val="24"/>
          <w:szCs w:val="24"/>
        </w:rPr>
      </w:pPr>
    </w:p>
    <w:sectPr w:rsidR="004E2679">
      <w:pgSz w:w="11906" w:h="16838"/>
      <w:pgMar w:top="1440" w:right="1800" w:bottom="1440" w:left="1800" w:header="851" w:footer="992" w:gutter="0"/>
      <w:cols w:space="720"/>
      <w:docGrid w:type="lines" w:linePitch="423"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79"/>
    <w:rsid w:val="00297522"/>
    <w:rsid w:val="004E2679"/>
    <w:rsid w:val="00F529F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58D2D"/>
  <w15:docId w15:val="{CA8DE52F-AC14-4C88-8990-80D01012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uiPriority w:val="9"/>
    <w:qFormat/>
    <w:pPr>
      <w:outlineLvl w:val="0"/>
    </w:pPr>
    <w:rPr>
      <w:sz w:val="28"/>
      <w:szCs w:val="28"/>
    </w:rPr>
  </w:style>
  <w:style w:type="paragraph" w:styleId="2">
    <w:name w:val="heading 2"/>
    <w:uiPriority w:val="9"/>
    <w:semiHidden/>
    <w:unhideWhenUsed/>
    <w:qFormat/>
    <w:pPr>
      <w:outlineLvl w:val="1"/>
    </w:pPr>
  </w:style>
  <w:style w:type="paragraph" w:styleId="3">
    <w:name w:val="heading 3"/>
    <w:uiPriority w:val="9"/>
    <w:semiHidden/>
    <w:unhideWhenUsed/>
    <w:qFormat/>
    <w:pPr>
      <w:ind w:left="1000" w:hanging="400"/>
      <w:outlineLvl w:val="2"/>
    </w:pPr>
  </w:style>
  <w:style w:type="paragraph" w:styleId="4">
    <w:name w:val="heading 4"/>
    <w:uiPriority w:val="9"/>
    <w:semiHidden/>
    <w:unhideWhenUsed/>
    <w:qFormat/>
    <w:pPr>
      <w:ind w:left="1200" w:hanging="400"/>
      <w:outlineLvl w:val="3"/>
    </w:pPr>
    <w:rPr>
      <w:b/>
      <w:sz w:val="20"/>
      <w:szCs w:val="20"/>
    </w:rPr>
  </w:style>
  <w:style w:type="paragraph" w:styleId="5">
    <w:name w:val="heading 5"/>
    <w:uiPriority w:val="9"/>
    <w:semiHidden/>
    <w:unhideWhenUsed/>
    <w:qFormat/>
    <w:pPr>
      <w:ind w:left="1400" w:hanging="400"/>
      <w:outlineLvl w:val="4"/>
    </w:pPr>
  </w:style>
  <w:style w:type="paragraph" w:styleId="6">
    <w:name w:val="heading 6"/>
    <w:uiPriority w:val="9"/>
    <w:semiHidden/>
    <w:unhideWhenUsed/>
    <w:qFormat/>
    <w:pPr>
      <w:ind w:left="1600" w:hanging="400"/>
      <w:outlineLvl w:val="5"/>
    </w:pPr>
    <w:rPr>
      <w:b/>
      <w:sz w:val="20"/>
      <w:szCs w:val="20"/>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10"/>
    <w:qFormat/>
    <w:pPr>
      <w:jc w:val="center"/>
    </w:pPr>
    <w:rPr>
      <w:b/>
      <w:sz w:val="32"/>
      <w:szCs w:val="32"/>
    </w:rPr>
  </w:style>
  <w:style w:type="paragraph" w:styleId="a5">
    <w:name w:val="Subtitle"/>
    <w:uiPriority w:val="11"/>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uiPriority w:val="20"/>
    <w:qFormat/>
    <w:rPr>
      <w:b/>
      <w:w w:val="100"/>
      <w:sz w:val="21"/>
      <w:szCs w:val="21"/>
      <w:shd w:val="clear" w:color="000000" w:fill="auto"/>
    </w:rPr>
  </w:style>
  <w:style w:type="paragraph" w:styleId="aa">
    <w:name w:val="Quote"/>
    <w:uiPriority w:val="21"/>
    <w:qFormat/>
    <w:pPr>
      <w:ind w:left="864" w:right="864"/>
      <w:jc w:val="center"/>
    </w:pPr>
    <w:rPr>
      <w:i/>
      <w:color w:val="404040"/>
      <w:sz w:val="20"/>
      <w:szCs w:val="20"/>
    </w:rPr>
  </w:style>
  <w:style w:type="paragraph" w:styleId="ab">
    <w:name w:val="Intense Quote"/>
    <w:uiPriority w:val="22"/>
    <w:qFormat/>
    <w:pPr>
      <w:ind w:left="950" w:right="950"/>
      <w:jc w:val="center"/>
    </w:pPr>
    <w:rPr>
      <w:i/>
      <w:color w:val="5B9BD5"/>
      <w:sz w:val="20"/>
      <w:szCs w:val="20"/>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uiPriority w:val="26"/>
    <w:qFormat/>
    <w:pPr>
      <w:ind w:left="850"/>
    </w:pPr>
  </w:style>
  <w:style w:type="paragraph" w:styleId="TOC">
    <w:name w:val="TOC Heading"/>
    <w:uiPriority w:val="27"/>
    <w:unhideWhenUsed/>
    <w:qFormat/>
    <w:rPr>
      <w:color w:val="2E74B5"/>
      <w:sz w:val="32"/>
      <w:szCs w:val="32"/>
    </w:rPr>
  </w:style>
  <w:style w:type="paragraph" w:styleId="TOC1">
    <w:name w:val="toc 1"/>
    <w:uiPriority w:val="28"/>
    <w:unhideWhenUsed/>
    <w:qFormat/>
  </w:style>
  <w:style w:type="paragraph" w:styleId="TOC2">
    <w:name w:val="toc 2"/>
    <w:uiPriority w:val="29"/>
    <w:unhideWhenUsed/>
    <w:qFormat/>
    <w:pPr>
      <w:ind w:left="425"/>
    </w:pPr>
  </w:style>
  <w:style w:type="paragraph" w:styleId="TOC3">
    <w:name w:val="toc 3"/>
    <w:uiPriority w:val="30"/>
    <w:unhideWhenUsed/>
    <w:qFormat/>
    <w:pPr>
      <w:ind w:left="850"/>
    </w:pPr>
  </w:style>
  <w:style w:type="paragraph" w:styleId="TOC4">
    <w:name w:val="toc 4"/>
    <w:uiPriority w:val="31"/>
    <w:unhideWhenUsed/>
    <w:qFormat/>
    <w:pPr>
      <w:ind w:left="1275"/>
    </w:pPr>
  </w:style>
  <w:style w:type="paragraph" w:styleId="TOC5">
    <w:name w:val="toc 5"/>
    <w:uiPriority w:val="32"/>
    <w:unhideWhenUsed/>
    <w:qFormat/>
    <w:pPr>
      <w:ind w:left="1700"/>
    </w:pPr>
  </w:style>
  <w:style w:type="paragraph" w:styleId="TOC6">
    <w:name w:val="toc 6"/>
    <w:uiPriority w:val="33"/>
    <w:unhideWhenUsed/>
    <w:qFormat/>
    <w:pPr>
      <w:ind w:left="2125"/>
    </w:pPr>
  </w:style>
  <w:style w:type="paragraph" w:styleId="TOC7">
    <w:name w:val="toc 7"/>
    <w:uiPriority w:val="34"/>
    <w:unhideWhenUsed/>
    <w:qFormat/>
    <w:pPr>
      <w:ind w:left="2550"/>
    </w:pPr>
  </w:style>
  <w:style w:type="paragraph" w:styleId="TOC8">
    <w:name w:val="toc 8"/>
    <w:uiPriority w:val="35"/>
    <w:unhideWhenUsed/>
    <w:qFormat/>
    <w:pPr>
      <w:ind w:left="2975"/>
    </w:pPr>
  </w:style>
  <w:style w:type="paragraph" w:styleId="TOC9">
    <w:name w:val="toc 9"/>
    <w:uiPriority w:val="36"/>
    <w:unhideWhenUsed/>
    <w:qFormat/>
    <w:pPr>
      <w:ind w:left="3400"/>
    </w:pPr>
  </w:style>
  <w:style w:type="paragraph" w:styleId="af0">
    <w:name w:val="header"/>
    <w:basedOn w:val="a"/>
    <w:link w:val="af1"/>
    <w:unhideWhenUsed/>
    <w:pPr>
      <w:tabs>
        <w:tab w:val="center" w:pos="4153"/>
        <w:tab w:val="right" w:pos="8306"/>
      </w:tabs>
      <w:jc w:val="center"/>
    </w:pPr>
    <w:rPr>
      <w:sz w:val="18"/>
      <w:szCs w:val="18"/>
    </w:rPr>
  </w:style>
  <w:style w:type="character" w:customStyle="1" w:styleId="af1">
    <w:name w:val="页眉 字符"/>
    <w:basedOn w:val="a0"/>
    <w:link w:val="af0"/>
    <w:rPr>
      <w:w w:val="100"/>
      <w:sz w:val="18"/>
      <w:szCs w:val="18"/>
      <w:shd w:val="clear" w:color="auto" w:fill="auto"/>
    </w:rPr>
  </w:style>
  <w:style w:type="paragraph" w:styleId="af2">
    <w:name w:val="footer"/>
    <w:basedOn w:val="a"/>
    <w:link w:val="af3"/>
    <w:unhideWhenUsed/>
    <w:pPr>
      <w:tabs>
        <w:tab w:val="center" w:pos="4153"/>
        <w:tab w:val="right" w:pos="8306"/>
      </w:tabs>
    </w:pPr>
    <w:rPr>
      <w:sz w:val="18"/>
      <w:szCs w:val="18"/>
    </w:rPr>
  </w:style>
  <w:style w:type="character" w:customStyle="1" w:styleId="af3">
    <w:name w:val="页脚 字符"/>
    <w:basedOn w:val="a0"/>
    <w:link w:val="af2"/>
    <w:rPr>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190</Words>
  <Characters>1083</Characters>
  <Application>Microsoft Office Word</Application>
  <DocSecurity>0</DocSecurity>
  <Lines>9</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叶杨馨</cp:lastModifiedBy>
  <cp:revision>4</cp:revision>
  <dcterms:created xsi:type="dcterms:W3CDTF">2019-11-08T12:21:00Z</dcterms:created>
  <dcterms:modified xsi:type="dcterms:W3CDTF">2019-11-08T12:26:00Z</dcterms:modified>
</cp:coreProperties>
</file>