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0B03" w14:textId="77777777" w:rsidR="00503439" w:rsidRDefault="00503439">
      <w:pPr>
        <w:wordWrap w:val="0"/>
        <w:spacing w:line="360" w:lineRule="auto"/>
        <w:ind w:firstLine="602"/>
        <w:jc w:val="center"/>
        <w:rPr>
          <w:rFonts w:ascii="宋体" w:hAnsi="宋体"/>
          <w:b/>
          <w:color w:val="000000" w:themeColor="text1"/>
          <w:sz w:val="28"/>
          <w:szCs w:val="28"/>
        </w:rPr>
      </w:pPr>
    </w:p>
    <w:p w14:paraId="5AB87D73" w14:textId="19553593" w:rsidR="004E2679" w:rsidRDefault="00E86E32">
      <w:pPr>
        <w:wordWrap w:val="0"/>
        <w:spacing w:line="360" w:lineRule="auto"/>
        <w:ind w:firstLine="602"/>
        <w:jc w:val="center"/>
        <w:rPr>
          <w:rFonts w:ascii="宋体" w:hAnsi="宋体"/>
          <w:b/>
          <w:color w:val="000000" w:themeColor="text1"/>
          <w:sz w:val="28"/>
          <w:szCs w:val="28"/>
        </w:rPr>
      </w:pPr>
      <w:r>
        <w:rPr>
          <w:rFonts w:ascii="宋体" w:hAnsi="宋体" w:hint="eastAsia"/>
          <w:b/>
          <w:color w:val="000000" w:themeColor="text1"/>
          <w:sz w:val="28"/>
          <w:szCs w:val="28"/>
        </w:rPr>
        <w:t>2</w:t>
      </w:r>
      <w:r>
        <w:rPr>
          <w:rFonts w:ascii="宋体" w:hAnsi="宋体"/>
          <w:b/>
          <w:color w:val="000000" w:themeColor="text1"/>
          <w:sz w:val="28"/>
          <w:szCs w:val="28"/>
        </w:rPr>
        <w:t>021</w:t>
      </w:r>
      <w:r>
        <w:rPr>
          <w:rFonts w:ascii="宋体" w:hAnsi="宋体" w:hint="eastAsia"/>
          <w:b/>
          <w:color w:val="000000" w:themeColor="text1"/>
          <w:sz w:val="28"/>
          <w:szCs w:val="28"/>
        </w:rPr>
        <w:t>年</w:t>
      </w:r>
      <w:r w:rsidR="00F529FE">
        <w:rPr>
          <w:rFonts w:ascii="宋体" w:hAnsi="宋体"/>
          <w:b/>
          <w:color w:val="000000" w:themeColor="text1"/>
          <w:sz w:val="28"/>
          <w:szCs w:val="28"/>
        </w:rPr>
        <w:t>环境科学与工程学科</w:t>
      </w:r>
    </w:p>
    <w:p w14:paraId="72B186B5" w14:textId="77777777" w:rsidR="004E2679" w:rsidRDefault="00F529FE">
      <w:pPr>
        <w:wordWrap w:val="0"/>
        <w:spacing w:line="360" w:lineRule="auto"/>
        <w:ind w:firstLine="602"/>
        <w:jc w:val="center"/>
        <w:rPr>
          <w:rFonts w:ascii="宋体" w:hAnsi="宋体"/>
          <w:b/>
          <w:color w:val="000000" w:themeColor="text1"/>
          <w:sz w:val="28"/>
          <w:szCs w:val="28"/>
        </w:rPr>
      </w:pPr>
      <w:r>
        <w:rPr>
          <w:rFonts w:ascii="宋体" w:hAnsi="宋体"/>
          <w:b/>
          <w:color w:val="000000" w:themeColor="text1"/>
          <w:sz w:val="28"/>
          <w:szCs w:val="28"/>
        </w:rPr>
        <w:t>博士研究生申请审核制和硕博连读招生工作细则</w:t>
      </w:r>
    </w:p>
    <w:p w14:paraId="1F89B71B" w14:textId="77777777" w:rsidR="004E2679" w:rsidRPr="00297522" w:rsidRDefault="004E2679">
      <w:pPr>
        <w:wordWrap w:val="0"/>
        <w:spacing w:line="264" w:lineRule="auto"/>
        <w:ind w:firstLine="480"/>
        <w:jc w:val="left"/>
        <w:rPr>
          <w:rFonts w:ascii="宋体" w:hAnsi="宋体"/>
          <w:color w:val="000000" w:themeColor="text1"/>
          <w:sz w:val="24"/>
          <w:szCs w:val="24"/>
        </w:rPr>
      </w:pPr>
    </w:p>
    <w:p w14:paraId="01424946"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根据学校博士招生简章相关规定，结合环境科学与工程学科特点，为做好博士审核</w:t>
      </w:r>
      <w:proofErr w:type="gramStart"/>
      <w:r>
        <w:rPr>
          <w:rFonts w:ascii="宋体" w:hAnsi="宋体"/>
          <w:color w:val="000000" w:themeColor="text1"/>
          <w:sz w:val="24"/>
          <w:szCs w:val="24"/>
        </w:rPr>
        <w:t>制及硕博</w:t>
      </w:r>
      <w:proofErr w:type="gramEnd"/>
      <w:r>
        <w:rPr>
          <w:rFonts w:ascii="宋体" w:hAnsi="宋体"/>
          <w:color w:val="000000" w:themeColor="text1"/>
          <w:sz w:val="24"/>
          <w:szCs w:val="24"/>
        </w:rPr>
        <w:t>连读招生工作，特制定如下工作细则。</w:t>
      </w:r>
    </w:p>
    <w:p w14:paraId="6701BA53" w14:textId="77777777" w:rsidR="004E2679" w:rsidRDefault="00F529FE">
      <w:pPr>
        <w:wordWrap w:val="0"/>
        <w:spacing w:line="360" w:lineRule="auto"/>
        <w:ind w:firstLine="482"/>
        <w:jc w:val="left"/>
        <w:rPr>
          <w:rFonts w:ascii="宋体" w:hAnsi="宋体"/>
          <w:b/>
          <w:color w:val="000000" w:themeColor="text1"/>
          <w:sz w:val="24"/>
          <w:szCs w:val="24"/>
        </w:rPr>
      </w:pPr>
      <w:r>
        <w:rPr>
          <w:rFonts w:ascii="宋体" w:hAnsi="宋体"/>
          <w:b/>
          <w:color w:val="000000" w:themeColor="text1"/>
          <w:sz w:val="24"/>
          <w:szCs w:val="24"/>
        </w:rPr>
        <w:t>一、培养目标</w:t>
      </w:r>
    </w:p>
    <w:p w14:paraId="4855EF53"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为培养德智体美劳全面发展，在环境科学与工程学科上掌握坚实的理论基础和系统深入的专业知识，具有从事科学研究、教学及管理工作能力的高层次创新人才。</w:t>
      </w:r>
    </w:p>
    <w:p w14:paraId="23CB1B0C" w14:textId="77777777" w:rsidR="004E2679" w:rsidRDefault="00F529FE">
      <w:pPr>
        <w:wordWrap w:val="0"/>
        <w:spacing w:line="360" w:lineRule="auto"/>
        <w:ind w:firstLine="482"/>
        <w:jc w:val="left"/>
        <w:rPr>
          <w:rFonts w:ascii="宋体" w:hAnsi="宋体"/>
          <w:b/>
          <w:color w:val="000000" w:themeColor="text1"/>
          <w:sz w:val="24"/>
          <w:szCs w:val="24"/>
        </w:rPr>
      </w:pPr>
      <w:r>
        <w:rPr>
          <w:rFonts w:ascii="宋体" w:hAnsi="宋体"/>
          <w:b/>
          <w:color w:val="000000" w:themeColor="text1"/>
          <w:sz w:val="24"/>
          <w:szCs w:val="24"/>
        </w:rPr>
        <w:t>二、领导机构</w:t>
      </w:r>
    </w:p>
    <w:p w14:paraId="41D9514F"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环境与气候研究院成立招生领导小组，结合专业特点和实际制定招生工作细则，内容包括：审核制和硕博连读考生的报考条件、审核条件、复试要求等。根据招生方向特点，相关招生方向成立招生工作小组，负责申请人员的材料审核和面试等</w:t>
      </w:r>
      <w:r>
        <w:rPr>
          <w:rFonts w:ascii="宋体" w:eastAsia="Times New Roman"/>
          <w:color w:val="000000" w:themeColor="text1"/>
          <w:sz w:val="24"/>
          <w:szCs w:val="24"/>
        </w:rPr>
        <w:t>工作</w:t>
      </w:r>
      <w:r>
        <w:rPr>
          <w:rFonts w:ascii="宋体" w:hAnsi="宋体"/>
          <w:color w:val="000000" w:themeColor="text1"/>
          <w:sz w:val="24"/>
          <w:szCs w:val="24"/>
        </w:rPr>
        <w:t>。</w:t>
      </w:r>
    </w:p>
    <w:p w14:paraId="49111525" w14:textId="77777777" w:rsidR="004E2679" w:rsidRDefault="00F529FE">
      <w:pPr>
        <w:wordWrap w:val="0"/>
        <w:spacing w:line="360" w:lineRule="auto"/>
        <w:ind w:firstLine="560"/>
        <w:rPr>
          <w:rFonts w:ascii="宋体" w:hAnsi="宋体"/>
          <w:color w:val="000000" w:themeColor="text1"/>
          <w:sz w:val="24"/>
          <w:szCs w:val="24"/>
        </w:rPr>
      </w:pPr>
      <w:r>
        <w:rPr>
          <w:rFonts w:ascii="宋体" w:hAnsi="宋体"/>
          <w:b/>
          <w:color w:val="000000" w:themeColor="text1"/>
          <w:sz w:val="24"/>
          <w:szCs w:val="24"/>
        </w:rPr>
        <w:t>三、报考基本条件及审核条件</w:t>
      </w:r>
    </w:p>
    <w:p w14:paraId="2F65174A" w14:textId="77777777" w:rsidR="004E2679" w:rsidRDefault="00F529FE">
      <w:pPr>
        <w:wordWrap w:val="0"/>
        <w:spacing w:line="360" w:lineRule="auto"/>
        <w:ind w:firstLine="280"/>
        <w:jc w:val="left"/>
        <w:rPr>
          <w:rFonts w:ascii="宋体" w:hAnsi="宋体"/>
          <w:color w:val="000000" w:themeColor="text1"/>
          <w:sz w:val="24"/>
          <w:szCs w:val="24"/>
        </w:rPr>
      </w:pPr>
      <w:r>
        <w:rPr>
          <w:rFonts w:ascii="宋体" w:hAnsi="宋体"/>
          <w:b/>
          <w:color w:val="000000" w:themeColor="text1"/>
          <w:sz w:val="24"/>
          <w:szCs w:val="24"/>
        </w:rPr>
        <w:t>（一）基本条件：</w:t>
      </w:r>
      <w:r>
        <w:rPr>
          <w:rFonts w:ascii="宋体" w:hAnsi="宋体"/>
          <w:color w:val="000000" w:themeColor="text1"/>
          <w:sz w:val="24"/>
          <w:szCs w:val="24"/>
        </w:rPr>
        <w:t>按学校招生简章等相关规定</w:t>
      </w:r>
      <w:r>
        <w:rPr>
          <w:rFonts w:ascii="宋体" w:eastAsia="Times New Roman"/>
          <w:color w:val="000000" w:themeColor="text1"/>
          <w:sz w:val="24"/>
          <w:szCs w:val="24"/>
        </w:rPr>
        <w:t>执行</w:t>
      </w:r>
      <w:r>
        <w:rPr>
          <w:rFonts w:ascii="宋体" w:hAnsi="宋体"/>
          <w:color w:val="000000" w:themeColor="text1"/>
          <w:sz w:val="24"/>
          <w:szCs w:val="24"/>
        </w:rPr>
        <w:t>。</w:t>
      </w:r>
    </w:p>
    <w:p w14:paraId="543B4C78" w14:textId="77777777" w:rsidR="004E2679" w:rsidRDefault="00F529FE">
      <w:pPr>
        <w:wordWrap w:val="0"/>
        <w:spacing w:line="360" w:lineRule="auto"/>
        <w:ind w:firstLine="281"/>
        <w:jc w:val="left"/>
        <w:rPr>
          <w:rFonts w:ascii="宋体" w:hAnsi="宋体"/>
          <w:b/>
          <w:color w:val="000000" w:themeColor="text1"/>
          <w:sz w:val="24"/>
          <w:szCs w:val="24"/>
        </w:rPr>
      </w:pPr>
      <w:r>
        <w:rPr>
          <w:rFonts w:ascii="宋体" w:hAnsi="宋体"/>
          <w:b/>
          <w:color w:val="000000" w:themeColor="text1"/>
          <w:sz w:val="24"/>
          <w:szCs w:val="24"/>
        </w:rPr>
        <w:t>（二）申请审核制审核条件</w:t>
      </w:r>
    </w:p>
    <w:p w14:paraId="01F18897"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1.招生对象：学术型专业面向符合报考条件的应、往届学术型硕士、专业学位硕士；不接受同等学力考生报名；录取类别为非定向全日制。</w:t>
      </w:r>
    </w:p>
    <w:p w14:paraId="2A11B909" w14:textId="77777777" w:rsidR="004E2679" w:rsidRDefault="00F529FE">
      <w:pPr>
        <w:wordWrap w:val="0"/>
        <w:spacing w:line="360" w:lineRule="auto"/>
        <w:ind w:firstLine="521"/>
        <w:jc w:val="left"/>
        <w:rPr>
          <w:rFonts w:ascii="宋体" w:hAnsi="宋体"/>
          <w:color w:val="000000" w:themeColor="text1"/>
          <w:sz w:val="24"/>
          <w:szCs w:val="24"/>
        </w:rPr>
      </w:pPr>
      <w:r>
        <w:rPr>
          <w:rFonts w:ascii="宋体" w:hAnsi="宋体"/>
          <w:color w:val="000000" w:themeColor="text1"/>
          <w:sz w:val="24"/>
          <w:szCs w:val="24"/>
        </w:rPr>
        <w:t>2.审核基本要求</w:t>
      </w:r>
    </w:p>
    <w:p w14:paraId="04F4603F"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（1）专业基础扎实，学习成绩优秀；</w:t>
      </w:r>
    </w:p>
    <w:p w14:paraId="2E1D106D" w14:textId="44683807" w:rsidR="004E2679" w:rsidRPr="00503439" w:rsidRDefault="00F529FE">
      <w:pPr>
        <w:wordWrap w:val="0"/>
        <w:spacing w:line="360" w:lineRule="auto"/>
        <w:ind w:firstLine="480"/>
        <w:jc w:val="left"/>
        <w:rPr>
          <w:rFonts w:ascii="宋体" w:hAnsi="宋体" w:hint="eastAsia"/>
          <w:color w:val="000000" w:themeColor="text1"/>
          <w:sz w:val="24"/>
          <w:szCs w:val="24"/>
        </w:rPr>
      </w:pPr>
      <w:r>
        <w:rPr>
          <w:rFonts w:ascii="宋体" w:hAnsi="宋体"/>
          <w:color w:val="000000" w:themeColor="text1"/>
          <w:sz w:val="24"/>
          <w:szCs w:val="24"/>
        </w:rPr>
        <w:lastRenderedPageBreak/>
        <w:t>（2）1篇已公开发表的学术论文代表作（</w:t>
      </w:r>
      <w:r w:rsidR="00503439">
        <w:rPr>
          <w:rFonts w:ascii="宋体" w:hAnsi="宋体" w:hint="eastAsia"/>
          <w:color w:val="000000" w:themeColor="text1"/>
          <w:sz w:val="24"/>
          <w:szCs w:val="24"/>
        </w:rPr>
        <w:t>前三</w:t>
      </w:r>
      <w:r>
        <w:rPr>
          <w:rFonts w:ascii="宋体" w:hAnsi="宋体"/>
          <w:color w:val="000000" w:themeColor="text1"/>
          <w:sz w:val="24"/>
          <w:szCs w:val="24"/>
        </w:rPr>
        <w:t>作或通讯作者）</w:t>
      </w:r>
      <w:r w:rsidR="00503439">
        <w:rPr>
          <w:rFonts w:ascii="宋体" w:hAnsi="宋体" w:hint="eastAsia"/>
          <w:color w:val="000000" w:themeColor="text1"/>
          <w:sz w:val="24"/>
          <w:szCs w:val="24"/>
        </w:rPr>
        <w:t>；</w:t>
      </w:r>
    </w:p>
    <w:p w14:paraId="2C0C00A3"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（3）政审合格，两封正高职称专家亲笔署名的推荐信，拟攻读博士研究计划等其他应交材料齐全；</w:t>
      </w:r>
    </w:p>
    <w:p w14:paraId="63813B4A" w14:textId="77777777" w:rsidR="004E2679" w:rsidRDefault="00F529FE">
      <w:pPr>
        <w:wordWrap w:val="0"/>
        <w:spacing w:line="360" w:lineRule="auto"/>
        <w:ind w:firstLine="480"/>
        <w:jc w:val="left"/>
        <w:rPr>
          <w:rFonts w:ascii="宋体" w:hAnsi="宋体"/>
          <w:b/>
          <w:color w:val="000000" w:themeColor="text1"/>
          <w:sz w:val="24"/>
          <w:szCs w:val="24"/>
        </w:rPr>
      </w:pPr>
      <w:r>
        <w:rPr>
          <w:rFonts w:ascii="宋体" w:hAnsi="宋体"/>
          <w:color w:val="000000" w:themeColor="text1"/>
          <w:sz w:val="24"/>
          <w:szCs w:val="24"/>
        </w:rPr>
        <w:t>（4）在职人员如被录取须辞去原单位工作，并按规定时间提交辞职证明并将人事档案转入我校，全脱产学习。</w:t>
      </w:r>
    </w:p>
    <w:p w14:paraId="6FCC6A0F"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b/>
          <w:color w:val="000000" w:themeColor="text1"/>
          <w:sz w:val="24"/>
          <w:szCs w:val="24"/>
        </w:rPr>
        <w:t>（三）硕博连读审核条件</w:t>
      </w:r>
    </w:p>
    <w:p w14:paraId="100DBC09"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1．招生对象：面向符合报考条件的暨南大学非定向全日制学术型硕士在校生，录取类别为非定向全日制。</w:t>
      </w:r>
    </w:p>
    <w:p w14:paraId="79F35F09"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2．审核基本要求</w:t>
      </w:r>
    </w:p>
    <w:p w14:paraId="0891DE33"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（1）学习态度端正，学风严谨，能够按照要求完成必修课程（公共学位课和专业学位课）并取得规定的学分，成绩优良；</w:t>
      </w:r>
    </w:p>
    <w:p w14:paraId="5F05FCCD"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（2）政审合格，有2位正高职称专家推荐信，拟攻读博士研究计划等其他应交材料齐全。</w:t>
      </w:r>
    </w:p>
    <w:p w14:paraId="03C0401C" w14:textId="77777777" w:rsidR="004E2679" w:rsidRDefault="00F529FE">
      <w:pPr>
        <w:wordWrap w:val="0"/>
        <w:spacing w:line="360" w:lineRule="auto"/>
        <w:ind w:firstLine="482"/>
        <w:jc w:val="left"/>
        <w:rPr>
          <w:rFonts w:ascii="宋体" w:hAnsi="宋体"/>
          <w:b/>
          <w:color w:val="000000" w:themeColor="text1"/>
          <w:sz w:val="24"/>
          <w:szCs w:val="24"/>
        </w:rPr>
      </w:pPr>
      <w:r>
        <w:rPr>
          <w:rFonts w:ascii="宋体" w:hAnsi="宋体"/>
          <w:b/>
          <w:color w:val="000000" w:themeColor="text1"/>
          <w:sz w:val="24"/>
          <w:szCs w:val="24"/>
        </w:rPr>
        <w:t>四、材料审核</w:t>
      </w:r>
    </w:p>
    <w:p w14:paraId="01681A6A" w14:textId="77777777" w:rsidR="004E2679" w:rsidRDefault="00F529FE">
      <w:pPr>
        <w:wordWrap w:val="0"/>
        <w:spacing w:line="360" w:lineRule="auto"/>
        <w:ind w:firstLine="482"/>
        <w:jc w:val="left"/>
        <w:rPr>
          <w:rFonts w:ascii="宋体" w:hAnsi="宋体"/>
          <w:color w:val="000000" w:themeColor="text1"/>
          <w:sz w:val="24"/>
          <w:szCs w:val="24"/>
        </w:rPr>
      </w:pPr>
      <w:r>
        <w:rPr>
          <w:rFonts w:ascii="宋体" w:hAnsi="宋体"/>
          <w:color w:val="000000" w:themeColor="text1"/>
          <w:sz w:val="24"/>
          <w:szCs w:val="24"/>
        </w:rPr>
        <w:t>组织不少于7位专家对申请材料进行审核，分别给出外语水平、专业素质、研究潜力三个方面的成绩。实行每位导师独立评分，按总分由高到低排序，确定复试名单。复试人数与录取人数比例原则上不超过2：1，经招生工作领导小组批准后，可适当扩大。</w:t>
      </w:r>
    </w:p>
    <w:p w14:paraId="11C9F661" w14:textId="77777777" w:rsidR="004E2679" w:rsidRDefault="00F529FE">
      <w:pPr>
        <w:wordWrap w:val="0"/>
        <w:spacing w:line="360" w:lineRule="auto"/>
        <w:ind w:firstLine="482"/>
        <w:jc w:val="left"/>
        <w:rPr>
          <w:rFonts w:ascii="宋体" w:hAnsi="宋体"/>
          <w:b/>
          <w:color w:val="000000" w:themeColor="text1"/>
          <w:sz w:val="24"/>
          <w:szCs w:val="24"/>
        </w:rPr>
      </w:pPr>
      <w:r>
        <w:rPr>
          <w:rFonts w:ascii="宋体" w:hAnsi="宋体"/>
          <w:b/>
          <w:color w:val="000000" w:themeColor="text1"/>
          <w:sz w:val="24"/>
          <w:szCs w:val="24"/>
        </w:rPr>
        <w:t>五、复试</w:t>
      </w:r>
    </w:p>
    <w:p w14:paraId="0BFD9E9D" w14:textId="77777777" w:rsidR="004E2679" w:rsidRDefault="00F529FE">
      <w:pPr>
        <w:wordWrap w:val="0"/>
        <w:spacing w:line="360" w:lineRule="auto"/>
        <w:ind w:firstLine="560"/>
        <w:jc w:val="left"/>
        <w:rPr>
          <w:rFonts w:ascii="宋体" w:hAnsi="宋体"/>
          <w:color w:val="000000" w:themeColor="text1"/>
          <w:sz w:val="24"/>
          <w:szCs w:val="24"/>
        </w:rPr>
      </w:pPr>
      <w:r>
        <w:rPr>
          <w:rFonts w:ascii="宋体" w:hAnsi="宋体"/>
          <w:color w:val="000000" w:themeColor="text1"/>
          <w:sz w:val="24"/>
          <w:szCs w:val="24"/>
        </w:rPr>
        <w:t>1.每位考生复试时间不少于30分钟，其中每人不少于15分钟学术情况汇报（PPT形式）；</w:t>
      </w:r>
    </w:p>
    <w:p w14:paraId="1BBAB4EE" w14:textId="77777777"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t>2.复试以面试为主，可视需要实行笔试；</w:t>
      </w:r>
    </w:p>
    <w:p w14:paraId="64BBE005" w14:textId="77777777"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lastRenderedPageBreak/>
        <w:t>3.跨学科人员可增加专业知识笔试，成绩不计入复试成绩，作为专家评分的参考；</w:t>
      </w:r>
    </w:p>
    <w:p w14:paraId="168E01F0" w14:textId="77777777"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t>4.成立不少于7位专家的面试小组，分别对每位考生从外语、专业素质、研究潜力三个方面独立评分，专家评分成绩作为面试成绩；</w:t>
      </w:r>
    </w:p>
    <w:p w14:paraId="60ED1560" w14:textId="77777777"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t>5.申请审核和硕博连读研究生按材料审核成绩与复试成绩相加后的总成绩排序，审核与面试的分数所占比重为50%：50%，录取时按照分数从高到低的原则排序，确定拟录取名单；</w:t>
      </w:r>
    </w:p>
    <w:p w14:paraId="0259DEC4" w14:textId="77777777"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t>6.报名时不要求选择导师，</w:t>
      </w:r>
      <w:proofErr w:type="gramStart"/>
      <w:r>
        <w:rPr>
          <w:rFonts w:ascii="宋体" w:hAnsi="宋体"/>
          <w:color w:val="000000" w:themeColor="text1"/>
          <w:sz w:val="24"/>
          <w:szCs w:val="24"/>
        </w:rPr>
        <w:t>待拟录取</w:t>
      </w:r>
      <w:proofErr w:type="gramEnd"/>
      <w:r>
        <w:rPr>
          <w:rFonts w:ascii="宋体" w:hAnsi="宋体"/>
          <w:color w:val="000000" w:themeColor="text1"/>
          <w:sz w:val="24"/>
          <w:szCs w:val="24"/>
        </w:rPr>
        <w:t>名单公示后，再选择导师（师生互选）。</w:t>
      </w:r>
    </w:p>
    <w:p w14:paraId="4CC3C557" w14:textId="77777777" w:rsidR="004E2679" w:rsidRDefault="00F529FE">
      <w:pPr>
        <w:wordWrap w:val="0"/>
        <w:spacing w:line="360" w:lineRule="auto"/>
        <w:ind w:firstLine="482"/>
        <w:jc w:val="left"/>
        <w:rPr>
          <w:rFonts w:ascii="宋体"/>
          <w:b/>
          <w:color w:val="000000" w:themeColor="text1"/>
          <w:sz w:val="24"/>
          <w:szCs w:val="24"/>
        </w:rPr>
      </w:pPr>
      <w:r>
        <w:rPr>
          <w:rFonts w:ascii="宋体" w:hAnsi="宋体"/>
          <w:b/>
          <w:color w:val="000000" w:themeColor="text1"/>
          <w:sz w:val="24"/>
          <w:szCs w:val="24"/>
        </w:rPr>
        <w:t>六、材料寄送</w:t>
      </w:r>
    </w:p>
    <w:p w14:paraId="0D768708" w14:textId="77777777"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考生将申请材料寄至：广东省广州市兴业大道东855号暨南大学番禺校区学院楼B1栋2101室，环境与气候研究院招生管理办公室，邵老师（收）。联系电话：020-37336650。</w:t>
      </w:r>
    </w:p>
    <w:p w14:paraId="17270205" w14:textId="77777777" w:rsidR="004E2679" w:rsidRDefault="004E2679">
      <w:pPr>
        <w:wordWrap w:val="0"/>
        <w:spacing w:line="360" w:lineRule="auto"/>
        <w:ind w:firstLine="480"/>
        <w:jc w:val="right"/>
        <w:rPr>
          <w:rFonts w:ascii="宋体" w:hAnsi="宋体"/>
          <w:color w:val="000000" w:themeColor="text1"/>
          <w:sz w:val="24"/>
          <w:szCs w:val="24"/>
        </w:rPr>
      </w:pPr>
    </w:p>
    <w:p w14:paraId="4E853190" w14:textId="77777777" w:rsidR="004E2679" w:rsidRDefault="00F529FE">
      <w:pPr>
        <w:wordWrap w:val="0"/>
        <w:spacing w:line="360" w:lineRule="auto"/>
        <w:ind w:firstLine="480"/>
        <w:jc w:val="right"/>
        <w:rPr>
          <w:rFonts w:ascii="宋体" w:hAnsi="宋体"/>
          <w:color w:val="000000" w:themeColor="text1"/>
          <w:sz w:val="24"/>
          <w:szCs w:val="24"/>
        </w:rPr>
      </w:pPr>
      <w:r>
        <w:rPr>
          <w:rFonts w:ascii="宋体" w:hAnsi="宋体"/>
          <w:color w:val="000000" w:themeColor="text1"/>
          <w:sz w:val="24"/>
          <w:szCs w:val="24"/>
        </w:rPr>
        <w:t>环境与气候研究院</w:t>
      </w:r>
    </w:p>
    <w:p w14:paraId="66CB408B" w14:textId="67D89806" w:rsidR="004E2679" w:rsidRDefault="00E86E32">
      <w:pPr>
        <w:wordWrap w:val="0"/>
        <w:spacing w:line="360" w:lineRule="auto"/>
        <w:ind w:firstLine="480"/>
        <w:jc w:val="right"/>
        <w:rPr>
          <w:rFonts w:ascii="宋体" w:hAnsi="宋体"/>
          <w:color w:val="000000" w:themeColor="text1"/>
          <w:sz w:val="24"/>
          <w:szCs w:val="24"/>
        </w:rPr>
      </w:pPr>
      <w:r>
        <w:rPr>
          <w:rFonts w:ascii="宋体" w:hAnsi="宋体"/>
          <w:color w:val="000000" w:themeColor="text1"/>
          <w:sz w:val="24"/>
          <w:szCs w:val="24"/>
        </w:rPr>
        <w:t>2020</w:t>
      </w:r>
      <w:r w:rsidR="00F529FE">
        <w:rPr>
          <w:rFonts w:ascii="宋体" w:hAnsi="宋体"/>
          <w:color w:val="000000" w:themeColor="text1"/>
          <w:sz w:val="24"/>
          <w:szCs w:val="24"/>
        </w:rPr>
        <w:t>年11月</w:t>
      </w:r>
    </w:p>
    <w:p w14:paraId="1E780F88" w14:textId="77777777" w:rsidR="004E2679" w:rsidRDefault="004E2679">
      <w:pPr>
        <w:wordWrap w:val="0"/>
        <w:spacing w:line="360" w:lineRule="auto"/>
        <w:ind w:firstLine="480"/>
        <w:jc w:val="left"/>
        <w:rPr>
          <w:rFonts w:ascii="宋体" w:hAnsi="宋体"/>
          <w:color w:val="000000" w:themeColor="text1"/>
          <w:sz w:val="24"/>
          <w:szCs w:val="24"/>
        </w:rPr>
      </w:pPr>
    </w:p>
    <w:sectPr w:rsidR="004E2679">
      <w:pgSz w:w="11906" w:h="16838"/>
      <w:pgMar w:top="1440" w:right="1800" w:bottom="1440" w:left="1800" w:header="851" w:footer="992" w:gutter="0"/>
      <w:cols w:space="720"/>
      <w:docGrid w:type="lines" w:linePitch="42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70033" w14:textId="77777777" w:rsidR="00933FCD" w:rsidRDefault="00933FCD" w:rsidP="00E86E32">
      <w:r>
        <w:separator/>
      </w:r>
    </w:p>
  </w:endnote>
  <w:endnote w:type="continuationSeparator" w:id="0">
    <w:p w14:paraId="025C412C" w14:textId="77777777" w:rsidR="00933FCD" w:rsidRDefault="00933FCD" w:rsidP="00E8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D5089" w14:textId="77777777" w:rsidR="00933FCD" w:rsidRDefault="00933FCD" w:rsidP="00E86E32">
      <w:r>
        <w:separator/>
      </w:r>
    </w:p>
  </w:footnote>
  <w:footnote w:type="continuationSeparator" w:id="0">
    <w:p w14:paraId="0EDD618C" w14:textId="77777777" w:rsidR="00933FCD" w:rsidRDefault="00933FCD" w:rsidP="00E8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79"/>
    <w:rsid w:val="00297522"/>
    <w:rsid w:val="004E2679"/>
    <w:rsid w:val="00503439"/>
    <w:rsid w:val="00682889"/>
    <w:rsid w:val="00933FCD"/>
    <w:rsid w:val="00E86E32"/>
    <w:rsid w:val="00F529F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69F7"/>
  <w15:docId w15:val="{CA8DE52F-AC14-4C88-8990-80D01012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uiPriority w:val="9"/>
    <w:qFormat/>
    <w:pPr>
      <w:outlineLvl w:val="0"/>
    </w:pPr>
    <w:rPr>
      <w:sz w:val="28"/>
      <w:szCs w:val="28"/>
    </w:rPr>
  </w:style>
  <w:style w:type="paragraph" w:styleId="2">
    <w:name w:val="heading 2"/>
    <w:uiPriority w:val="9"/>
    <w:semiHidden/>
    <w:unhideWhenUsed/>
    <w:qFormat/>
    <w:pPr>
      <w:outlineLvl w:val="1"/>
    </w:pPr>
  </w:style>
  <w:style w:type="paragraph" w:styleId="3">
    <w:name w:val="heading 3"/>
    <w:uiPriority w:val="9"/>
    <w:semiHidden/>
    <w:unhideWhenUsed/>
    <w:qFormat/>
    <w:pPr>
      <w:ind w:left="1000" w:hanging="400"/>
      <w:outlineLvl w:val="2"/>
    </w:pPr>
  </w:style>
  <w:style w:type="paragraph" w:styleId="4">
    <w:name w:val="heading 4"/>
    <w:uiPriority w:val="9"/>
    <w:semiHidden/>
    <w:unhideWhenUsed/>
    <w:qFormat/>
    <w:pPr>
      <w:ind w:left="1200" w:hanging="400"/>
      <w:outlineLvl w:val="3"/>
    </w:pPr>
    <w:rPr>
      <w:b/>
      <w:sz w:val="20"/>
      <w:szCs w:val="20"/>
    </w:rPr>
  </w:style>
  <w:style w:type="paragraph" w:styleId="5">
    <w:name w:val="heading 5"/>
    <w:uiPriority w:val="9"/>
    <w:semiHidden/>
    <w:unhideWhenUsed/>
    <w:qFormat/>
    <w:pPr>
      <w:ind w:left="1400" w:hanging="400"/>
      <w:outlineLvl w:val="4"/>
    </w:pPr>
  </w:style>
  <w:style w:type="paragraph" w:styleId="6">
    <w:name w:val="heading 6"/>
    <w:uiPriority w:val="9"/>
    <w:semiHidden/>
    <w:unhideWhenUsed/>
    <w:qFormat/>
    <w:pPr>
      <w:ind w:left="1600" w:hanging="400"/>
      <w:outlineLvl w:val="5"/>
    </w:pPr>
    <w:rPr>
      <w:b/>
      <w:sz w:val="20"/>
      <w:szCs w:val="20"/>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10"/>
    <w:qFormat/>
    <w:pPr>
      <w:jc w:val="center"/>
    </w:pPr>
    <w:rPr>
      <w:b/>
      <w:sz w:val="32"/>
      <w:szCs w:val="32"/>
    </w:rPr>
  </w:style>
  <w:style w:type="paragraph" w:styleId="a5">
    <w:name w:val="Subtitle"/>
    <w:uiPriority w:val="11"/>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uiPriority w:val="20"/>
    <w:qFormat/>
    <w:rPr>
      <w:b/>
      <w:w w:val="100"/>
      <w:sz w:val="21"/>
      <w:szCs w:val="21"/>
      <w:shd w:val="clear" w:color="000000" w:fill="auto"/>
    </w:rPr>
  </w:style>
  <w:style w:type="paragraph" w:styleId="aa">
    <w:name w:val="Quote"/>
    <w:uiPriority w:val="21"/>
    <w:qFormat/>
    <w:pPr>
      <w:ind w:left="864" w:right="864"/>
      <w:jc w:val="center"/>
    </w:pPr>
    <w:rPr>
      <w:i/>
      <w:color w:val="404040"/>
      <w:sz w:val="20"/>
      <w:szCs w:val="20"/>
    </w:rPr>
  </w:style>
  <w:style w:type="paragraph" w:styleId="ab">
    <w:name w:val="Intense Quote"/>
    <w:uiPriority w:val="22"/>
    <w:qFormat/>
    <w:pPr>
      <w:ind w:left="950" w:right="950"/>
      <w:jc w:val="center"/>
    </w:pPr>
    <w:rPr>
      <w:i/>
      <w:color w:val="5B9BD5"/>
      <w:sz w:val="20"/>
      <w:szCs w:val="20"/>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uiPriority w:val="26"/>
    <w:qFormat/>
    <w:pPr>
      <w:ind w:left="850"/>
    </w:pPr>
  </w:style>
  <w:style w:type="paragraph" w:styleId="TOC">
    <w:name w:val="TOC Heading"/>
    <w:uiPriority w:val="27"/>
    <w:unhideWhenUsed/>
    <w:qFormat/>
    <w:rPr>
      <w:color w:val="2E74B5"/>
      <w:sz w:val="32"/>
      <w:szCs w:val="32"/>
    </w:rPr>
  </w:style>
  <w:style w:type="paragraph" w:styleId="TOC1">
    <w:name w:val="toc 1"/>
    <w:uiPriority w:val="28"/>
    <w:unhideWhenUsed/>
    <w:qFormat/>
  </w:style>
  <w:style w:type="paragraph" w:styleId="TOC2">
    <w:name w:val="toc 2"/>
    <w:uiPriority w:val="29"/>
    <w:unhideWhenUsed/>
    <w:qFormat/>
    <w:pPr>
      <w:ind w:left="425"/>
    </w:pPr>
  </w:style>
  <w:style w:type="paragraph" w:styleId="TOC3">
    <w:name w:val="toc 3"/>
    <w:uiPriority w:val="30"/>
    <w:unhideWhenUsed/>
    <w:qFormat/>
    <w:pPr>
      <w:ind w:left="850"/>
    </w:pPr>
  </w:style>
  <w:style w:type="paragraph" w:styleId="TOC4">
    <w:name w:val="toc 4"/>
    <w:uiPriority w:val="31"/>
    <w:unhideWhenUsed/>
    <w:qFormat/>
    <w:pPr>
      <w:ind w:left="1275"/>
    </w:pPr>
  </w:style>
  <w:style w:type="paragraph" w:styleId="TOC5">
    <w:name w:val="toc 5"/>
    <w:uiPriority w:val="32"/>
    <w:unhideWhenUsed/>
    <w:qFormat/>
    <w:pPr>
      <w:ind w:left="1700"/>
    </w:pPr>
  </w:style>
  <w:style w:type="paragraph" w:styleId="TOC6">
    <w:name w:val="toc 6"/>
    <w:uiPriority w:val="33"/>
    <w:unhideWhenUsed/>
    <w:qFormat/>
    <w:pPr>
      <w:ind w:left="2125"/>
    </w:pPr>
  </w:style>
  <w:style w:type="paragraph" w:styleId="TOC7">
    <w:name w:val="toc 7"/>
    <w:uiPriority w:val="34"/>
    <w:unhideWhenUsed/>
    <w:qFormat/>
    <w:pPr>
      <w:ind w:left="2550"/>
    </w:pPr>
  </w:style>
  <w:style w:type="paragraph" w:styleId="TOC8">
    <w:name w:val="toc 8"/>
    <w:uiPriority w:val="35"/>
    <w:unhideWhenUsed/>
    <w:qFormat/>
    <w:pPr>
      <w:ind w:left="2975"/>
    </w:pPr>
  </w:style>
  <w:style w:type="paragraph" w:styleId="TOC9">
    <w:name w:val="toc 9"/>
    <w:uiPriority w:val="36"/>
    <w:unhideWhenUsed/>
    <w:qFormat/>
    <w:pPr>
      <w:ind w:left="3400"/>
    </w:pPr>
  </w:style>
  <w:style w:type="paragraph" w:styleId="af0">
    <w:name w:val="header"/>
    <w:basedOn w:val="a"/>
    <w:link w:val="af1"/>
    <w:unhideWhenUsed/>
    <w:pPr>
      <w:tabs>
        <w:tab w:val="center" w:pos="4153"/>
        <w:tab w:val="right" w:pos="8306"/>
      </w:tabs>
      <w:jc w:val="center"/>
    </w:pPr>
    <w:rPr>
      <w:sz w:val="18"/>
      <w:szCs w:val="18"/>
    </w:rPr>
  </w:style>
  <w:style w:type="character" w:customStyle="1" w:styleId="af1">
    <w:name w:val="页眉 字符"/>
    <w:basedOn w:val="a0"/>
    <w:link w:val="af0"/>
    <w:rPr>
      <w:w w:val="100"/>
      <w:sz w:val="18"/>
      <w:szCs w:val="18"/>
      <w:shd w:val="clear" w:color="auto" w:fill="auto"/>
    </w:rPr>
  </w:style>
  <w:style w:type="paragraph" w:styleId="af2">
    <w:name w:val="footer"/>
    <w:basedOn w:val="a"/>
    <w:link w:val="af3"/>
    <w:unhideWhenUsed/>
    <w:pPr>
      <w:tabs>
        <w:tab w:val="center" w:pos="4153"/>
        <w:tab w:val="right" w:pos="8306"/>
      </w:tabs>
    </w:pPr>
    <w:rPr>
      <w:sz w:val="18"/>
      <w:szCs w:val="18"/>
    </w:rPr>
  </w:style>
  <w:style w:type="character" w:customStyle="1" w:styleId="af3">
    <w:name w:val="页脚 字符"/>
    <w:basedOn w:val="a0"/>
    <w:link w:val="af2"/>
    <w:rPr>
      <w:w w:val="100"/>
      <w:sz w:val="18"/>
      <w:szCs w:val="18"/>
      <w:shd w:val="clear" w:color="auto" w:fill="auto"/>
    </w:rPr>
  </w:style>
  <w:style w:type="paragraph" w:styleId="af4">
    <w:name w:val="Balloon Text"/>
    <w:basedOn w:val="a"/>
    <w:link w:val="af5"/>
    <w:uiPriority w:val="99"/>
    <w:semiHidden/>
    <w:unhideWhenUsed/>
    <w:rsid w:val="00E86E32"/>
    <w:rPr>
      <w:sz w:val="18"/>
      <w:szCs w:val="18"/>
    </w:rPr>
  </w:style>
  <w:style w:type="character" w:customStyle="1" w:styleId="af5">
    <w:name w:val="批注框文本 字符"/>
    <w:basedOn w:val="a0"/>
    <w:link w:val="af4"/>
    <w:uiPriority w:val="99"/>
    <w:semiHidden/>
    <w:rsid w:val="00E86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185</Words>
  <Characters>1060</Characters>
  <Application>Microsoft Office Word</Application>
  <DocSecurity>0</DocSecurity>
  <Lines>8</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cp:lastPrinted>2020-11-10T07:04:00Z</cp:lastPrinted>
  <dcterms:created xsi:type="dcterms:W3CDTF">2019-11-08T12:21:00Z</dcterms:created>
  <dcterms:modified xsi:type="dcterms:W3CDTF">2020-11-10T07:05:00Z</dcterms:modified>
</cp:coreProperties>
</file>