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</w:t>
      </w:r>
      <w:r>
        <w:rPr>
          <w:rFonts w:hint="eastAsia"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cs="Times New Roman"/>
          <w:b/>
          <w:sz w:val="30"/>
          <w:szCs w:val="30"/>
        </w:rPr>
        <w:t>年</w:t>
      </w:r>
      <w:r>
        <w:rPr>
          <w:rFonts w:hint="eastAsia" w:ascii="Times New Roman" w:cs="Times New Roman"/>
          <w:b/>
          <w:sz w:val="30"/>
          <w:szCs w:val="30"/>
        </w:rPr>
        <w:t>理工学院</w:t>
      </w:r>
      <w:r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cs="Times New Roman"/>
          <w:b/>
        </w:rPr>
      </w:pP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根据学校博士招生简章相关规定，结合学院学科特点，为做好我院博士审核制及硕博连读招生工作，特制定如下工作细则。</w:t>
      </w:r>
      <w:bookmarkStart w:id="0" w:name="_GoBack"/>
      <w:bookmarkEnd w:id="0"/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一、</w:t>
      </w:r>
      <w:r>
        <w:rPr>
          <w:rFonts w:hint="eastAsia" w:ascii="Times New Roman" w:cs="Times New Roman"/>
          <w:b/>
        </w:rPr>
        <w:t>招生专业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>光学工程（0803）、生物医学物理与生物医学信息技术（0831Z2）。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二、领导机构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学院成立招生领导小组，统筹全院招生工作；各专业点成立审核面试工作小组，负责对申请人员的材料审核和面试工作。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三、报考基础条件及审核条件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（二）申请审核制审核条件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hint="eastAsia" w:ascii="Times New Roman" w:cs="Times New Roman"/>
        </w:rPr>
        <w:t>报考</w:t>
      </w:r>
      <w:r>
        <w:rPr>
          <w:rFonts w:ascii="Times New Roman" w:cs="Times New Roman"/>
        </w:rPr>
        <w:t>条件的应、往届学术型硕士，不接受同等学力考生报名。录取类别为非定向全日制。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）专业基础扎实，学习成绩优秀；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hint="eastAsia" w:ascii="Times New Roman" w:cs="Times New Roman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hint="eastAsia" w:ascii="Times New Roman" w:cs="Times New Roman"/>
          <w:color w:val="000000" w:themeColor="text1"/>
        </w:rPr>
        <w:t>的学术</w:t>
      </w:r>
      <w:r>
        <w:rPr>
          <w:rFonts w:ascii="Times New Roman" w:cs="Times New Roman"/>
          <w:color w:val="000000" w:themeColor="text1"/>
        </w:rPr>
        <w:t>论文</w:t>
      </w:r>
      <w:r>
        <w:rPr>
          <w:rFonts w:hint="eastAsia" w:ascii="Times New Roman" w:cs="Times New Roman"/>
          <w:color w:val="000000" w:themeColor="text1"/>
        </w:rPr>
        <w:t>代表作</w:t>
      </w:r>
      <w:r>
        <w:rPr>
          <w:rFonts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位正高职称专家推荐，拟攻读博士研究计划等其他应交材料齐全；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cs="Times New Roman"/>
        </w:rPr>
        <w:t>）在职人员</w:t>
      </w:r>
      <w:r>
        <w:rPr>
          <w:rFonts w:hint="eastAsia" w:ascii="Times New Roman" w:cs="Times New Roman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hint="eastAsia" w:ascii="Times New Roman" w:cs="Times New Roman"/>
        </w:rPr>
        <w:t>，全</w:t>
      </w:r>
      <w:r>
        <w:rPr>
          <w:rFonts w:ascii="Times New Roman" w:cs="Times New Roman"/>
        </w:rPr>
        <w:t>脱产学习。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（三）</w:t>
      </w:r>
      <w:r>
        <w:rPr>
          <w:rFonts w:hint="eastAsia" w:ascii="Times New Roman" w:cs="Times New Roman"/>
        </w:rPr>
        <w:t>申请</w:t>
      </w:r>
      <w:r>
        <w:rPr>
          <w:rFonts w:ascii="Times New Roman" w:cs="Times New Roman"/>
        </w:rPr>
        <w:t>硕博连读审核条件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学习态度端正，学风严谨，能够按照要求完成必修课程（公共学位课和专业学位课）并取得规定的学分，成绩优良</w:t>
      </w:r>
      <w:r>
        <w:rPr>
          <w:rFonts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）政审合格，有</w:t>
      </w:r>
      <w:r>
        <w:rPr>
          <w:rFonts w:hint="eastAsia" w:asci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四、材料寄送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>报考考生请按照学校招生简章所列的清单，于2018年12月8日前递交或邮寄纸质申请材料（一式两份）到理工学院研究生管理办公室（广东省广州市天河区黄埔大道西601号蒙民伟理工楼110室，孔老师，020-85228762）。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</w:rPr>
        <w:t>五</w:t>
      </w:r>
      <w:r>
        <w:rPr>
          <w:rFonts w:ascii="Times New Roman" w:cs="Times New Roman"/>
          <w:b/>
        </w:rPr>
        <w:t>、材料审核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学院各相关专业点</w:t>
      </w:r>
      <w:r>
        <w:rPr>
          <w:rFonts w:hint="eastAsia" w:ascii="Times New Roman" w:cs="Times New Roman"/>
        </w:rPr>
        <w:t>制定材料审核评分标准（评分标准须提前交理工学院研究生管理办公室备案），并成立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位专家</w:t>
      </w:r>
      <w:r>
        <w:rPr>
          <w:rFonts w:hint="eastAsia" w:ascii="Times New Roman" w:cs="Times New Roman"/>
        </w:rPr>
        <w:t>的审核小组</w:t>
      </w:r>
      <w:r>
        <w:rPr>
          <w:rFonts w:ascii="Times New Roman" w:cs="Times New Roman"/>
        </w:rPr>
        <w:t>，分别</w:t>
      </w:r>
      <w:r>
        <w:rPr>
          <w:rFonts w:hint="eastAsia" w:ascii="Times New Roman" w:cs="Times New Roman"/>
        </w:rPr>
        <w:t>对每位考生的材料从</w:t>
      </w:r>
      <w:r>
        <w:rPr>
          <w:rFonts w:ascii="Times New Roman" w:cs="Times New Roman"/>
        </w:rPr>
        <w:t>外语、专业素质、研究潜力三</w:t>
      </w:r>
      <w:r>
        <w:rPr>
          <w:rFonts w:hint="eastAsia" w:ascii="Times New Roman" w:cs="Times New Roman"/>
        </w:rPr>
        <w:t>个</w:t>
      </w:r>
      <w:r>
        <w:rPr>
          <w:rFonts w:ascii="Times New Roman" w:cs="Times New Roman"/>
        </w:rPr>
        <w:t>方面</w:t>
      </w:r>
      <w:r>
        <w:rPr>
          <w:rFonts w:hint="eastAsia" w:ascii="Times New Roman" w:cs="Times New Roman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hint="eastAsia" w:ascii="Times New Roman" w:cs="Times New Roman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hint="eastAsia" w:ascii="Times New Roman" w:cs="Times New Roman"/>
        </w:rPr>
        <w:t>分别去掉单项最高分与最低分，计算各项平均分，再计算总分。按总分由高到低排序，确定复试名单。复试人数与录取人数比例原则上不超过2：1。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</w:rPr>
        <w:t>六</w:t>
      </w:r>
      <w:r>
        <w:rPr>
          <w:rFonts w:ascii="Times New Roman" w:cs="Times New Roman"/>
          <w:b/>
        </w:rPr>
        <w:t>、复试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cs="Times New Roman"/>
        </w:rPr>
        <w:t xml:space="preserve">. </w:t>
      </w:r>
      <w:r>
        <w:rPr>
          <w:rFonts w:ascii="Times New Roman" w:cs="Times New Roman"/>
        </w:rPr>
        <w:t>每位考生复试时间不少于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分钟，其中</w:t>
      </w:r>
      <w:r>
        <w:rPr>
          <w:rFonts w:hint="eastAsia" w:ascii="Times New Roman" w:cs="Times New Roman"/>
        </w:rPr>
        <w:t>每</w:t>
      </w:r>
      <w:r>
        <w:rPr>
          <w:rFonts w:ascii="Times New Roman" w:cs="Times New Roman"/>
        </w:rPr>
        <w:t>人不少于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分钟学术情况汇报（</w:t>
      </w:r>
      <w:r>
        <w:rPr>
          <w:rFonts w:ascii="Times New Roman" w:hAnsi="Times New Roman" w:cs="Times New Roman"/>
        </w:rPr>
        <w:t>PPT</w:t>
      </w:r>
      <w:r>
        <w:rPr>
          <w:rFonts w:hint="eastAsia" w:ascii="Times New Roman" w:hAnsi="Times New Roman" w:cs="Times New Roman"/>
        </w:rPr>
        <w:t>形式</w:t>
      </w:r>
      <w:r>
        <w:rPr>
          <w:rFonts w:ascii="Times New Roman" w:cs="Times New Roman"/>
        </w:rPr>
        <w:t>）。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跨学科人员可增加专业知识笔试，成绩不计入复试成绩，作为专家评分的参考。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cs="Times New Roman"/>
        </w:rPr>
        <w:t>学院各专业点</w:t>
      </w:r>
      <w:r>
        <w:rPr>
          <w:rFonts w:hint="eastAsia" w:ascii="Times New Roman" w:cs="Times New Roman"/>
        </w:rPr>
        <w:t>组织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</w:t>
      </w:r>
      <w:r>
        <w:rPr>
          <w:rFonts w:hint="eastAsia" w:ascii="Times New Roman" w:cs="Times New Roman"/>
        </w:rPr>
        <w:t>专家</w:t>
      </w:r>
      <w:r>
        <w:rPr>
          <w:rFonts w:ascii="Times New Roman" w:cs="Times New Roman"/>
        </w:rPr>
        <w:t>对考生进行面试，分别</w:t>
      </w:r>
      <w:r>
        <w:rPr>
          <w:rFonts w:hint="eastAsia" w:ascii="Times New Roman" w:cs="Times New Roman"/>
        </w:rPr>
        <w:t>对每位考生从</w:t>
      </w:r>
      <w:r>
        <w:rPr>
          <w:rFonts w:ascii="Times New Roman" w:cs="Times New Roman"/>
        </w:rPr>
        <w:t>外语、专业素质、研究潜力三</w:t>
      </w:r>
      <w:r>
        <w:rPr>
          <w:rFonts w:hint="eastAsia" w:ascii="Times New Roman" w:cs="Times New Roman"/>
        </w:rPr>
        <w:t>个</w:t>
      </w:r>
      <w:r>
        <w:rPr>
          <w:rFonts w:ascii="Times New Roman" w:cs="Times New Roman"/>
        </w:rPr>
        <w:t>方面</w:t>
      </w:r>
      <w:r>
        <w:rPr>
          <w:rFonts w:hint="eastAsia" w:ascii="Times New Roman" w:cs="Times New Roman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hint="eastAsia" w:ascii="Times New Roman" w:cs="Times New Roman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分），</w:t>
      </w:r>
      <w:r>
        <w:rPr>
          <w:rFonts w:hint="eastAsia" w:ascii="Times New Roman" w:cs="Times New Roman"/>
        </w:rPr>
        <w:t>分别去掉单项最高分与最低分，计算各项平均分，再计算总分。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cs="Times New Roman"/>
        </w:rPr>
        <w:t>以专业为单位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材料审核成绩与复试成绩</w:t>
      </w:r>
      <w:r>
        <w:rPr>
          <w:rFonts w:hint="eastAsia" w:ascii="Times New Roman" w:cs="Times New Roman"/>
        </w:rPr>
        <w:t>权重各占</w:t>
      </w:r>
      <w:r>
        <w:rPr>
          <w:rFonts w:ascii="Times New Roman" w:hAnsi="Times New Roman" w:cs="Times New Roman"/>
        </w:rPr>
        <w:t>50%</w:t>
      </w:r>
      <w:r>
        <w:rPr>
          <w:rFonts w:hint="eastAsia" w:ascii="Times New Roman" w:hAnsi="Times New Roman" w:cs="Times New Roman"/>
        </w:rPr>
        <w:t>，按</w:t>
      </w:r>
      <w:r>
        <w:rPr>
          <w:rFonts w:ascii="Times New Roman" w:cs="Times New Roman"/>
        </w:rPr>
        <w:t>相加后的总成绩排序。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cs="Times New Roman"/>
        </w:rPr>
        <w:t>以</w:t>
      </w:r>
      <w:r>
        <w:rPr>
          <w:rFonts w:ascii="Times New Roman" w:cs="Times New Roman"/>
        </w:rPr>
        <w:t>总成绩排序由高至低确定拟录取名单。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cs="Times New Roman"/>
        </w:rPr>
        <w:t>拟录取名单公示后，师生互选。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</w:p>
    <w:p>
      <w:pPr>
        <w:spacing w:line="264" w:lineRule="auto"/>
        <w:ind w:right="105" w:firstLine="480" w:firstLineChars="200"/>
        <w:jc w:val="righ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暨南大学理工学院</w:t>
      </w:r>
    </w:p>
    <w:p>
      <w:pPr>
        <w:spacing w:line="264" w:lineRule="auto"/>
        <w:ind w:right="120" w:firstLine="48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hint="eastAsia" w:ascii="Times New Roman" w:hAnsi="Times New Roman" w:cs="Times New Roman"/>
        </w:rPr>
        <w:t>8年</w:t>
      </w:r>
      <w:r>
        <w:rPr>
          <w:rFonts w:ascii="Times New Roman" w:hAnsi="Times New Roman" w:cs="Times New Roman"/>
        </w:rPr>
        <w:t>11</w:t>
      </w:r>
      <w:r>
        <w:rPr>
          <w:rFonts w:hint="eastAsia" w:ascii="Times New Roman" w:hAnsi="Times New Roman" w:cs="Times New Roman"/>
        </w:rPr>
        <w:t>月1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eastAsia" w:ascii="Times New Roman" w:hAnsi="Times New Roman" w:cs="Times New Roman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22853"/>
    <w:rsid w:val="000717A5"/>
    <w:rsid w:val="000900CE"/>
    <w:rsid w:val="00160D59"/>
    <w:rsid w:val="00175C73"/>
    <w:rsid w:val="00175DD6"/>
    <w:rsid w:val="001A39B4"/>
    <w:rsid w:val="001B1CE2"/>
    <w:rsid w:val="001D3E18"/>
    <w:rsid w:val="002435B9"/>
    <w:rsid w:val="00277AF6"/>
    <w:rsid w:val="003A4130"/>
    <w:rsid w:val="003F4D24"/>
    <w:rsid w:val="00403995"/>
    <w:rsid w:val="00456FB7"/>
    <w:rsid w:val="004D0001"/>
    <w:rsid w:val="00505827"/>
    <w:rsid w:val="0058403C"/>
    <w:rsid w:val="00591E9D"/>
    <w:rsid w:val="005B67AC"/>
    <w:rsid w:val="005D1F9C"/>
    <w:rsid w:val="005F6AC6"/>
    <w:rsid w:val="00647E72"/>
    <w:rsid w:val="00656FC5"/>
    <w:rsid w:val="0067080F"/>
    <w:rsid w:val="00671E21"/>
    <w:rsid w:val="006B30E4"/>
    <w:rsid w:val="006B3C4A"/>
    <w:rsid w:val="006C10F6"/>
    <w:rsid w:val="00710532"/>
    <w:rsid w:val="00723B09"/>
    <w:rsid w:val="00762F84"/>
    <w:rsid w:val="00771A95"/>
    <w:rsid w:val="00790CEF"/>
    <w:rsid w:val="007D1302"/>
    <w:rsid w:val="007E2795"/>
    <w:rsid w:val="008F55D0"/>
    <w:rsid w:val="00A0537E"/>
    <w:rsid w:val="00AA1F53"/>
    <w:rsid w:val="00AF037B"/>
    <w:rsid w:val="00B326CF"/>
    <w:rsid w:val="00B6133D"/>
    <w:rsid w:val="00B93A95"/>
    <w:rsid w:val="00B94F81"/>
    <w:rsid w:val="00B9629F"/>
    <w:rsid w:val="00C11CCA"/>
    <w:rsid w:val="00C17C7F"/>
    <w:rsid w:val="00C25D2F"/>
    <w:rsid w:val="00C43DE3"/>
    <w:rsid w:val="00C4724D"/>
    <w:rsid w:val="00C61BD6"/>
    <w:rsid w:val="00C626A4"/>
    <w:rsid w:val="00CA4520"/>
    <w:rsid w:val="00D378FA"/>
    <w:rsid w:val="00D41953"/>
    <w:rsid w:val="00D53D5F"/>
    <w:rsid w:val="00DF19BC"/>
    <w:rsid w:val="00E343CE"/>
    <w:rsid w:val="00E363A4"/>
    <w:rsid w:val="00E5152E"/>
    <w:rsid w:val="00E85D0B"/>
    <w:rsid w:val="00EA3F3B"/>
    <w:rsid w:val="00EB56B7"/>
    <w:rsid w:val="00EF2280"/>
    <w:rsid w:val="00F87A2D"/>
    <w:rsid w:val="00F9381D"/>
    <w:rsid w:val="00FA7AF3"/>
    <w:rsid w:val="037D1035"/>
    <w:rsid w:val="0AAD4C00"/>
    <w:rsid w:val="690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semiHidden/>
    <w:uiPriority w:val="99"/>
    <w:rPr>
      <w:sz w:val="18"/>
      <w:szCs w:val="18"/>
    </w:rPr>
  </w:style>
  <w:style w:type="character" w:customStyle="1" w:styleId="14">
    <w:name w:val="批注文字 Char"/>
    <w:basedOn w:val="8"/>
    <w:link w:val="3"/>
    <w:semiHidden/>
    <w:uiPriority w:val="99"/>
    <w:rPr>
      <w:kern w:val="2"/>
      <w:sz w:val="24"/>
      <w:szCs w:val="24"/>
    </w:rPr>
  </w:style>
  <w:style w:type="character" w:customStyle="1" w:styleId="15">
    <w:name w:val="批注主题 Char"/>
    <w:basedOn w:val="14"/>
    <w:link w:val="2"/>
    <w:semiHidden/>
    <w:uiPriority w:val="99"/>
    <w:rPr>
      <w:b/>
      <w:bCs/>
    </w:rPr>
  </w:style>
  <w:style w:type="character" w:customStyle="1" w:styleId="16">
    <w:name w:val="批注框文本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7">
    <w:name w:val="日期 Char"/>
    <w:basedOn w:val="8"/>
    <w:link w:val="4"/>
    <w:semiHidden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暨南大学</Company>
  <Pages>2</Pages>
  <Words>182</Words>
  <Characters>1041</Characters>
  <Lines>8</Lines>
  <Paragraphs>2</Paragraphs>
  <TotalTime>555</TotalTime>
  <ScaleCrop>false</ScaleCrop>
  <LinksUpToDate>false</LinksUpToDate>
  <CharactersWithSpaces>1221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2017-11-14T00:40:00Z</dcterms:created>
  <dc:creator>月 方</dc:creator>
  <cp:lastModifiedBy>lxh1104</cp:lastModifiedBy>
  <cp:lastPrinted>2018-11-16T07:50:00Z</cp:lastPrinted>
  <dcterms:modified xsi:type="dcterms:W3CDTF">2018-11-20T02:28:02Z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