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b/>
          <w:bCs/>
          <w:sz w:val="24"/>
          <w:szCs w:val="24"/>
        </w:rPr>
      </w:pPr>
      <w:r>
        <w:rPr>
          <w:rFonts w:hint="eastAsia" w:asciiTheme="majorEastAsia" w:hAnsiTheme="majorEastAsia" w:cstheme="majorEastAsia"/>
          <w:b/>
          <w:bCs/>
          <w:sz w:val="28"/>
          <w:szCs w:val="28"/>
          <w:lang w:val="en-US" w:eastAsia="zh-CN"/>
        </w:rPr>
        <w:t>番禺校区管理委员会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网站检查报告</w:t>
      </w:r>
    </w:p>
    <w:p>
      <w:pPr>
        <w:pStyle w:val="5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报告背景</w:t>
      </w:r>
    </w:p>
    <w:p>
      <w:pPr>
        <w:ind w:firstLine="420" w:firstLineChars="200"/>
        <w:rPr>
          <w:rFonts w:hint="default" w:asciiTheme="minorAscii" w:hAnsiTheme="minorAscii"/>
          <w:b w:val="0"/>
          <w:bCs w:val="0"/>
          <w:sz w:val="21"/>
          <w:szCs w:val="21"/>
        </w:rPr>
      </w:pPr>
      <w:bookmarkStart w:id="0" w:name="_GoBack"/>
      <w:bookmarkEnd w:id="0"/>
      <w:r>
        <w:rPr>
          <w:rFonts w:hint="eastAsia" w:ascii="等线" w:hAnsi="等线" w:eastAsia="等线" w:cs="等线"/>
          <w:sz w:val="21"/>
          <w:szCs w:val="21"/>
        </w:rPr>
        <w:t>为进一步贯彻执行国家和广东省关于网络安全工作的重大部署，顺利开展2022年初冬奥会等重点攻坚网络安全专项行动，共同做好我校网络安全保障工作，检查校内各单位网络安全工作部署落实情况，提升基层单位网络安全意识</w:t>
      </w:r>
      <w:r>
        <w:rPr>
          <w:rFonts w:hint="eastAsia" w:ascii="等线" w:hAnsi="等线" w:eastAsia="等线" w:cs="等线"/>
          <w:sz w:val="21"/>
          <w:szCs w:val="21"/>
          <w:lang w:eastAsia="zh-CN"/>
        </w:rPr>
        <w:t>，</w:t>
      </w:r>
      <w:r>
        <w:rPr>
          <w:rFonts w:hint="default" w:asciiTheme="minorAscii" w:hAnsiTheme="minorAscii"/>
          <w:b w:val="0"/>
          <w:bCs w:val="0"/>
          <w:sz w:val="21"/>
          <w:szCs w:val="21"/>
        </w:rPr>
        <w:t>学校将对部分单位进行网络安全工作抽查，此次抽查为</w:t>
      </w:r>
      <w:r>
        <w:rPr>
          <w:rFonts w:hint="default" w:eastAsia="等线" w:cs="等线" w:asciiTheme="minorAscii" w:hAnsiTheme="minorAscii"/>
          <w:b w:val="0"/>
          <w:bCs w:val="0"/>
          <w:sz w:val="21"/>
          <w:szCs w:val="21"/>
        </w:rPr>
        <w:t>科学技术研究处</w:t>
      </w:r>
      <w:r>
        <w:rPr>
          <w:rFonts w:hint="default" w:eastAsia="等线" w:cs="等线" w:asciiTheme="minorAscii" w:hAnsiTheme="minorAscii"/>
          <w:b w:val="0"/>
          <w:bCs w:val="0"/>
          <w:sz w:val="21"/>
          <w:szCs w:val="21"/>
          <w:lang w:eastAsia="zh-CN"/>
        </w:rPr>
        <w:t>、</w:t>
      </w:r>
      <w:r>
        <w:rPr>
          <w:rFonts w:hint="default" w:eastAsia="等线" w:cs="等线" w:asciiTheme="minorAscii" w:hAnsiTheme="minorAscii"/>
          <w:b w:val="0"/>
          <w:bCs w:val="0"/>
          <w:sz w:val="21"/>
          <w:szCs w:val="21"/>
        </w:rPr>
        <w:t>总务后勤管理处</w:t>
      </w:r>
      <w:r>
        <w:rPr>
          <w:rFonts w:hint="default" w:eastAsia="等线" w:cs="等线" w:asciiTheme="minorAscii" w:hAnsiTheme="minorAscii"/>
          <w:b w:val="0"/>
          <w:bCs w:val="0"/>
          <w:sz w:val="21"/>
          <w:szCs w:val="21"/>
          <w:lang w:eastAsia="zh-CN"/>
        </w:rPr>
        <w:t>、</w:t>
      </w:r>
      <w:r>
        <w:rPr>
          <w:rFonts w:hint="default" w:eastAsia="等线" w:cs="等线" w:asciiTheme="minorAscii" w:hAnsiTheme="minorAscii"/>
          <w:b w:val="0"/>
          <w:bCs w:val="0"/>
          <w:sz w:val="21"/>
          <w:szCs w:val="21"/>
        </w:rPr>
        <w:t>番禺</w:t>
      </w:r>
      <w:r>
        <w:rPr>
          <w:rFonts w:hint="default" w:eastAsia="等线" w:cs="等线" w:asciiTheme="minorAscii" w:hAnsiTheme="minorAscii"/>
          <w:b w:val="0"/>
          <w:bCs w:val="0"/>
          <w:sz w:val="21"/>
          <w:szCs w:val="21"/>
          <w:lang w:val="en-US" w:eastAsia="zh-CN"/>
        </w:rPr>
        <w:t>校区</w:t>
      </w:r>
      <w:r>
        <w:rPr>
          <w:rFonts w:hint="default" w:eastAsia="等线" w:cs="等线" w:asciiTheme="minorAscii" w:hAnsiTheme="minorAscii"/>
          <w:b w:val="0"/>
          <w:bCs w:val="0"/>
          <w:sz w:val="21"/>
          <w:szCs w:val="21"/>
        </w:rPr>
        <w:t>管理委员会</w:t>
      </w:r>
      <w:r>
        <w:rPr>
          <w:rFonts w:hint="default" w:eastAsia="等线" w:cs="等线" w:asciiTheme="minorAscii" w:hAnsiTheme="minorAscii"/>
          <w:b w:val="0"/>
          <w:bCs w:val="0"/>
          <w:sz w:val="21"/>
          <w:szCs w:val="21"/>
          <w:lang w:eastAsia="zh-CN"/>
        </w:rPr>
        <w:t>，</w:t>
      </w:r>
      <w:r>
        <w:rPr>
          <w:rFonts w:hint="default" w:asciiTheme="minorAscii" w:hAnsiTheme="minorAscii"/>
          <w:b w:val="0"/>
          <w:bCs w:val="0"/>
          <w:sz w:val="21"/>
          <w:szCs w:val="21"/>
        </w:rPr>
        <w:t>以下为</w:t>
      </w:r>
      <w:r>
        <w:rPr>
          <w:rFonts w:hint="default" w:eastAsia="等线" w:cs="等线" w:asciiTheme="minorAscii" w:hAnsiTheme="minorAscii"/>
          <w:b w:val="0"/>
          <w:bCs w:val="0"/>
          <w:sz w:val="21"/>
          <w:szCs w:val="21"/>
        </w:rPr>
        <w:t>科学技术研究处</w:t>
      </w:r>
      <w:r>
        <w:rPr>
          <w:rFonts w:hint="default" w:asciiTheme="minorAscii" w:hAnsiTheme="minorAscii"/>
          <w:b w:val="0"/>
          <w:bCs w:val="0"/>
          <w:sz w:val="21"/>
          <w:szCs w:val="21"/>
        </w:rPr>
        <w:t>的抽查数据。</w:t>
      </w:r>
    </w:p>
    <w:p>
      <w:pPr>
        <w:pStyle w:val="5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cstheme="majorEastAsia"/>
          <w:sz w:val="24"/>
          <w:szCs w:val="24"/>
          <w:lang w:val="en-US" w:eastAsia="zh-CN"/>
        </w:rPr>
        <w:t>漏洞扫描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情况</w:t>
      </w:r>
    </w:p>
    <w:p>
      <w:pPr>
        <w:spacing w:line="360" w:lineRule="auto"/>
        <w:ind w:firstLine="420" w:firstLineChars="200"/>
      </w:pPr>
      <w:r>
        <w:rPr>
          <w:rFonts w:hint="eastAsia"/>
        </w:rPr>
        <w:t>以下为</w:t>
      </w:r>
      <w:r>
        <w:rPr>
          <w:rFonts w:hint="eastAsia" w:ascii="等线" w:hAnsi="等线" w:eastAsia="等线" w:cs="等线"/>
          <w:sz w:val="21"/>
          <w:szCs w:val="21"/>
        </w:rPr>
        <w:t>番禺</w:t>
      </w:r>
      <w:r>
        <w:rPr>
          <w:rFonts w:hint="eastAsia" w:ascii="等线" w:hAnsi="等线" w:eastAsia="等线" w:cs="等线"/>
          <w:sz w:val="21"/>
          <w:szCs w:val="21"/>
          <w:lang w:val="en-US" w:eastAsia="zh-CN"/>
        </w:rPr>
        <w:t>校区</w:t>
      </w:r>
      <w:r>
        <w:rPr>
          <w:rFonts w:hint="eastAsia" w:ascii="等线" w:hAnsi="等线" w:eastAsia="等线" w:cs="等线"/>
          <w:sz w:val="21"/>
          <w:szCs w:val="21"/>
        </w:rPr>
        <w:t>管理委员会</w:t>
      </w:r>
      <w:r>
        <w:rPr>
          <w:rFonts w:hint="eastAsia"/>
        </w:rPr>
        <w:t>网站</w:t>
      </w:r>
      <w:r>
        <w:t>4</w:t>
      </w:r>
      <w:r>
        <w:rPr>
          <w:rFonts w:hint="eastAsia"/>
        </w:rPr>
        <w:t>个域名与对应主机</w:t>
      </w:r>
      <w:r>
        <w:rPr>
          <w:rFonts w:hint="eastAsia"/>
          <w:lang w:eastAsia="zh-CN"/>
        </w:rPr>
        <w:t>，</w:t>
      </w:r>
      <w:r>
        <w:rPr>
          <w:rFonts w:hint="eastAsia"/>
        </w:rPr>
        <w:t>其中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个网站为学校站群网站，以下为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个域名与对应主机的详细信息。</w:t>
      </w:r>
    </w:p>
    <w:p>
      <w:pPr>
        <w:spacing w:line="360" w:lineRule="auto"/>
        <w:ind w:firstLine="420" w:firstLineChars="200"/>
      </w:pPr>
    </w:p>
    <w:tbl>
      <w:tblPr>
        <w:tblStyle w:val="31"/>
        <w:tblW w:w="0" w:type="auto"/>
        <w:tblInd w:w="0" w:type="dxa"/>
        <w:tblBorders>
          <w:top w:val="single" w:color="9CC2E5" w:themeColor="accent5" w:themeTint="99" w:sz="4" w:space="0"/>
          <w:left w:val="single" w:color="9CC2E5" w:themeColor="accent5" w:themeTint="99" w:sz="4" w:space="0"/>
          <w:bottom w:val="single" w:color="9CC2E5" w:themeColor="accent5" w:themeTint="99" w:sz="4" w:space="0"/>
          <w:right w:val="single" w:color="9CC2E5" w:themeColor="accent5" w:themeTint="99" w:sz="4" w:space="0"/>
          <w:insideH w:val="single" w:color="9CC2E5" w:themeColor="accent5" w:themeTint="99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3115"/>
        <w:gridCol w:w="2429"/>
        <w:gridCol w:w="1906"/>
      </w:tblGrid>
      <w:tr>
        <w:tblPrEx>
          <w:tblBorders>
            <w:top w:val="single" w:color="9CC2E5" w:themeColor="accent5" w:themeTint="99" w:sz="4" w:space="0"/>
            <w:left w:val="single" w:color="9CC2E5" w:themeColor="accent5" w:themeTint="99" w:sz="4" w:space="0"/>
            <w:bottom w:val="single" w:color="9CC2E5" w:themeColor="accent5" w:themeTint="99" w:sz="4" w:space="0"/>
            <w:right w:val="single" w:color="9CC2E5" w:themeColor="accent5" w:themeTint="99" w:sz="4" w:space="0"/>
            <w:insideH w:val="single" w:color="9CC2E5" w:themeColor="accent5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5B9BD5" w:themeFill="accent5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序号</w:t>
            </w:r>
          </w:p>
        </w:tc>
        <w:tc>
          <w:tcPr>
            <w:tcW w:w="31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5B9BD5" w:themeFill="accent5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系统名称</w:t>
            </w:r>
          </w:p>
        </w:tc>
        <w:tc>
          <w:tcPr>
            <w:tcW w:w="242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5B9BD5" w:themeFill="accent5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域名</w:t>
            </w:r>
          </w:p>
        </w:tc>
        <w:tc>
          <w:tcPr>
            <w:tcW w:w="190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5B9BD5" w:themeFill="accent5"/>
          </w:tcPr>
          <w:p>
            <w:pPr>
              <w:spacing w:line="60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I</w:t>
            </w: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P</w:t>
            </w:r>
          </w:p>
        </w:tc>
      </w:tr>
      <w:tr>
        <w:tblPrEx>
          <w:tblBorders>
            <w:top w:val="single" w:color="9CC2E5" w:themeColor="accent5" w:themeTint="99" w:sz="4" w:space="0"/>
            <w:left w:val="single" w:color="9CC2E5" w:themeColor="accent5" w:themeTint="99" w:sz="4" w:space="0"/>
            <w:bottom w:val="single" w:color="9CC2E5" w:themeColor="accent5" w:themeTint="99" w:sz="4" w:space="0"/>
            <w:right w:val="single" w:color="9CC2E5" w:themeColor="accent5" w:themeTint="99" w:sz="4" w:space="0"/>
            <w:insideH w:val="single" w:color="9CC2E5" w:themeColor="accent5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31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暨南大学番禺校区主页</w:t>
            </w:r>
          </w:p>
        </w:tc>
        <w:tc>
          <w:tcPr>
            <w:tcW w:w="242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panyu.jnu.edu.cn</w:t>
            </w:r>
          </w:p>
        </w:tc>
        <w:tc>
          <w:tcPr>
            <w:tcW w:w="190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192.168.22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88</w:t>
            </w:r>
          </w:p>
        </w:tc>
      </w:tr>
      <w:tr>
        <w:tblPrEx>
          <w:tblBorders>
            <w:top w:val="single" w:color="9CC2E5" w:themeColor="accent5" w:themeTint="99" w:sz="4" w:space="0"/>
            <w:left w:val="single" w:color="9CC2E5" w:themeColor="accent5" w:themeTint="99" w:sz="4" w:space="0"/>
            <w:bottom w:val="single" w:color="9CC2E5" w:themeColor="accent5" w:themeTint="99" w:sz="4" w:space="0"/>
            <w:right w:val="single" w:color="9CC2E5" w:themeColor="accent5" w:themeTint="99" w:sz="4" w:space="0"/>
            <w:insideH w:val="single" w:color="9CC2E5" w:themeColor="accent5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31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暨南大学番禺校区党建网</w:t>
            </w:r>
          </w:p>
        </w:tc>
        <w:tc>
          <w:tcPr>
            <w:tcW w:w="242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pydj.jnu.edu.cn</w:t>
            </w:r>
          </w:p>
        </w:tc>
        <w:tc>
          <w:tcPr>
            <w:tcW w:w="190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192.168.2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214</w:t>
            </w:r>
          </w:p>
        </w:tc>
      </w:tr>
      <w:tr>
        <w:tblPrEx>
          <w:tblBorders>
            <w:top w:val="single" w:color="9CC2E5" w:themeColor="accent5" w:themeTint="99" w:sz="4" w:space="0"/>
            <w:left w:val="single" w:color="9CC2E5" w:themeColor="accent5" w:themeTint="99" w:sz="4" w:space="0"/>
            <w:bottom w:val="single" w:color="9CC2E5" w:themeColor="accent5" w:themeTint="99" w:sz="4" w:space="0"/>
            <w:right w:val="single" w:color="9CC2E5" w:themeColor="accent5" w:themeTint="99" w:sz="4" w:space="0"/>
            <w:insideH w:val="single" w:color="9CC2E5" w:themeColor="accent5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3</w:t>
            </w:r>
          </w:p>
        </w:tc>
        <w:tc>
          <w:tcPr>
            <w:tcW w:w="3115" w:type="dxa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暨南大学番禺校区宿舍能耗查询系统</w:t>
            </w:r>
          </w:p>
        </w:tc>
        <w:tc>
          <w:tcPr>
            <w:tcW w:w="2429" w:type="dxa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pysdapi.jnu.edu.cn</w:t>
            </w:r>
          </w:p>
        </w:tc>
        <w:tc>
          <w:tcPr>
            <w:tcW w:w="1906" w:type="dxa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10.136.2.2</w:t>
            </w:r>
          </w:p>
        </w:tc>
      </w:tr>
      <w:tr>
        <w:tblPrEx>
          <w:tblBorders>
            <w:top w:val="single" w:color="9CC2E5" w:themeColor="accent5" w:themeTint="99" w:sz="4" w:space="0"/>
            <w:left w:val="single" w:color="9CC2E5" w:themeColor="accent5" w:themeTint="99" w:sz="4" w:space="0"/>
            <w:bottom w:val="single" w:color="9CC2E5" w:themeColor="accent5" w:themeTint="99" w:sz="4" w:space="0"/>
            <w:right w:val="single" w:color="9CC2E5" w:themeColor="accent5" w:themeTint="99" w:sz="4" w:space="0"/>
            <w:insideH w:val="single" w:color="9CC2E5" w:themeColor="accent5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4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暨南大学番禺校区宿舍能耗查询系统</w:t>
            </w:r>
          </w:p>
        </w:tc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pynhcx.jnu.edu.cn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10.136.2.5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</w:p>
        </w:tc>
      </w:tr>
    </w:tbl>
    <w:p>
      <w:pPr>
        <w:pStyle w:val="7"/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p>
      <w:pPr>
        <w:pStyle w:val="7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网站漏扫</w:t>
      </w:r>
    </w:p>
    <w:p>
      <w:pPr>
        <w:rPr>
          <w:rFonts w:hint="default" w:asciiTheme="minorAscii" w:hAnsiTheme="minorAscii"/>
          <w:sz w:val="21"/>
          <w:szCs w:val="21"/>
        </w:rPr>
      </w:pPr>
      <w:r>
        <w:tab/>
      </w:r>
      <w:r>
        <w:rPr>
          <w:rFonts w:hint="default" w:asciiTheme="minorAscii" w:hAnsiTheme="minorAscii"/>
          <w:sz w:val="21"/>
          <w:szCs w:val="21"/>
          <w:lang w:val="en-US" w:eastAsia="zh-CN"/>
        </w:rPr>
        <w:t>除</w:t>
      </w:r>
      <w:r>
        <w:rPr>
          <w:rFonts w:hint="default" w:asciiTheme="minorAscii" w:hAnsiTheme="minorAscii" w:eastAsiaTheme="minorEastAsia" w:cstheme="minorEastAsia"/>
          <w:sz w:val="21"/>
          <w:szCs w:val="21"/>
          <w:lang w:val="en-US" w:eastAsia="zh-CN"/>
        </w:rPr>
        <w:t>panyu.jnu.edu.cn</w:t>
      </w:r>
      <w:r>
        <w:rPr>
          <w:rFonts w:hint="default" w:asciiTheme="minorAscii" w:hAnsiTheme="minorAscii" w:cstheme="minorEastAsia"/>
          <w:sz w:val="21"/>
          <w:szCs w:val="21"/>
          <w:lang w:val="en-US" w:eastAsia="zh-CN"/>
        </w:rPr>
        <w:t>(</w:t>
      </w:r>
      <w:r>
        <w:rPr>
          <w:rFonts w:hint="default" w:asciiTheme="minorAscii" w:hAnsiTheme="minorAscii" w:eastAsiaTheme="minorEastAsia" w:cstheme="minorEastAsia"/>
          <w:sz w:val="21"/>
          <w:szCs w:val="21"/>
          <w:lang w:val="en-US" w:eastAsia="zh-CN"/>
        </w:rPr>
        <w:t>暨南大学番禺校区主页</w:t>
      </w:r>
      <w:r>
        <w:rPr>
          <w:rFonts w:hint="default" w:asciiTheme="minorAscii" w:hAnsiTheme="minorAscii" w:cstheme="minorEastAsia"/>
          <w:sz w:val="21"/>
          <w:szCs w:val="21"/>
          <w:lang w:val="en-US" w:eastAsia="zh-CN"/>
        </w:rPr>
        <w:t>)、</w:t>
      </w:r>
      <w:r>
        <w:rPr>
          <w:rFonts w:hint="default" w:asciiTheme="minorAscii" w:hAnsiTheme="minorAscii" w:eastAsiaTheme="minorEastAsia" w:cstheme="minorEastAsia"/>
          <w:sz w:val="21"/>
          <w:szCs w:val="21"/>
        </w:rPr>
        <w:t>pydj.jnu.edu.cn</w:t>
      </w:r>
      <w:r>
        <w:rPr>
          <w:rFonts w:hint="default" w:asciiTheme="minorAscii" w:hAnsiTheme="minorAscii" w:cstheme="minorEastAsia"/>
          <w:sz w:val="21"/>
          <w:szCs w:val="21"/>
          <w:lang w:val="en-US" w:eastAsia="zh-CN"/>
        </w:rPr>
        <w:t>(</w:t>
      </w:r>
      <w:r>
        <w:rPr>
          <w:rFonts w:hint="default" w:asciiTheme="minorAscii" w:hAnsiTheme="minorAscii" w:eastAsiaTheme="minorEastAsia" w:cstheme="minorEastAsia"/>
          <w:sz w:val="21"/>
          <w:szCs w:val="21"/>
        </w:rPr>
        <w:t>暨南大学番禺校区党建网</w:t>
      </w:r>
      <w:r>
        <w:rPr>
          <w:rFonts w:hint="default" w:asciiTheme="minorAscii" w:hAnsiTheme="minorAscii" w:cstheme="minorEastAsia"/>
          <w:sz w:val="21"/>
          <w:szCs w:val="21"/>
          <w:lang w:val="en-US" w:eastAsia="zh-CN"/>
        </w:rPr>
        <w:t>)、</w:t>
      </w:r>
      <w:r>
        <w:rPr>
          <w:rFonts w:hint="default" w:asciiTheme="minorAscii" w:hAnsiTheme="minorAscii" w:eastAsiaTheme="minorEastAsia" w:cstheme="minorEastAsia"/>
          <w:sz w:val="21"/>
          <w:szCs w:val="21"/>
          <w:lang w:val="en-US" w:eastAsia="zh-CN"/>
        </w:rPr>
        <w:t>pysdapi.jnu.edu.cn</w:t>
      </w:r>
      <w:r>
        <w:rPr>
          <w:rFonts w:hint="default" w:asciiTheme="minorAscii" w:hAnsiTheme="minorAscii" w:cstheme="minorEastAsia"/>
          <w:sz w:val="21"/>
          <w:szCs w:val="21"/>
          <w:lang w:val="en-US" w:eastAsia="zh-CN"/>
        </w:rPr>
        <w:t>(</w:t>
      </w:r>
      <w:r>
        <w:rPr>
          <w:rFonts w:hint="default" w:asciiTheme="minorAscii" w:hAnsiTheme="minorAscii" w:eastAsiaTheme="minorEastAsia" w:cstheme="minorEastAsia"/>
          <w:sz w:val="21"/>
          <w:szCs w:val="21"/>
        </w:rPr>
        <w:t>暨南大学番禺校区宿舍能耗查询系统</w:t>
      </w:r>
      <w:r>
        <w:rPr>
          <w:rFonts w:hint="default" w:asciiTheme="minorAscii" w:hAnsiTheme="minorAscii" w:cstheme="minorEastAsia"/>
          <w:sz w:val="21"/>
          <w:szCs w:val="21"/>
          <w:lang w:val="en-US" w:eastAsia="zh-CN"/>
        </w:rPr>
        <w:t>)存在中高危漏洞，</w:t>
      </w:r>
      <w:r>
        <w:rPr>
          <w:rFonts w:hint="default" w:asciiTheme="minorAscii" w:hAnsiTheme="minorAscii"/>
          <w:sz w:val="21"/>
          <w:szCs w:val="21"/>
          <w:lang w:val="en-US" w:eastAsia="zh-CN"/>
        </w:rPr>
        <w:t>其余</w:t>
      </w:r>
      <w:r>
        <w:rPr>
          <w:rFonts w:hint="default" w:asciiTheme="minorAscii" w:hAnsiTheme="minorAscii"/>
          <w:sz w:val="21"/>
          <w:szCs w:val="21"/>
        </w:rPr>
        <w:t>域名无中高</w:t>
      </w:r>
      <w:r>
        <w:rPr>
          <w:rFonts w:hint="default" w:asciiTheme="minorAscii" w:hAnsiTheme="minorAscii"/>
          <w:sz w:val="21"/>
          <w:szCs w:val="21"/>
          <w:lang w:val="en-US" w:eastAsia="zh-CN"/>
        </w:rPr>
        <w:t>危</w:t>
      </w:r>
      <w:r>
        <w:rPr>
          <w:rFonts w:hint="default" w:asciiTheme="minorAscii" w:hAnsiTheme="minorAscii"/>
          <w:sz w:val="21"/>
          <w:szCs w:val="21"/>
        </w:rPr>
        <w:t>漏洞。</w:t>
      </w:r>
    </w:p>
    <w:p>
      <w:pPr>
        <w:spacing w:line="360" w:lineRule="auto"/>
        <w:rPr>
          <w:rFonts w:hint="default" w:asciiTheme="minorAscii" w:hAnsiTheme="minorAscii"/>
          <w:sz w:val="21"/>
          <w:szCs w:val="21"/>
          <w:lang w:val="en-US" w:eastAsia="zh-CN"/>
        </w:rPr>
      </w:pPr>
      <w:r>
        <w:rPr>
          <w:rFonts w:hint="default" w:asciiTheme="minorAscii" w:hAnsiTheme="minorAscii"/>
          <w:sz w:val="21"/>
          <w:szCs w:val="21"/>
          <w:lang w:val="en-US" w:eastAsia="zh-CN"/>
        </w:rPr>
        <w:t>漏洞情况如下:</w:t>
      </w:r>
    </w:p>
    <w:p>
      <w:pPr>
        <w:spacing w:line="360" w:lineRule="auto"/>
        <w:rPr>
          <w:rFonts w:hint="eastAsia" w:asciiTheme="minorAscii" w:hAnsiTheme="minorAscii"/>
          <w:sz w:val="21"/>
          <w:szCs w:val="21"/>
          <w:lang w:val="en-US" w:eastAsia="zh-CN"/>
        </w:rPr>
      </w:pPr>
      <w:r>
        <w:rPr>
          <w:rFonts w:hint="default" w:asciiTheme="minorAscii" w:hAnsiTheme="minorAscii"/>
          <w:sz w:val="21"/>
          <w:szCs w:val="21"/>
          <w:lang w:val="en-US" w:eastAsia="zh-CN"/>
        </w:rPr>
        <w:t>http://pysdapi.jnu.edu.cn</w:t>
      </w:r>
      <w:r>
        <w:rPr>
          <w:rFonts w:hint="eastAsia" w:asciiTheme="minorAscii" w:hAnsiTheme="minorAscii"/>
          <w:sz w:val="21"/>
          <w:szCs w:val="21"/>
          <w:lang w:val="en-US" w:eastAsia="zh-CN"/>
        </w:rPr>
        <w:t xml:space="preserve">：IIS短文件名泄露漏洞 </w:t>
      </w:r>
    </w:p>
    <w:p>
      <w:pPr>
        <w:spacing w:line="360" w:lineRule="auto"/>
        <w:rPr>
          <w:rFonts w:hint="default" w:asciiTheme="minorAscii" w:hAnsiTheme="minorAscii"/>
          <w:sz w:val="21"/>
          <w:szCs w:val="21"/>
          <w:lang w:val="en-US" w:eastAsia="zh-CN"/>
        </w:rPr>
      </w:pPr>
      <w:r>
        <w:rPr>
          <w:rFonts w:hint="default" w:asciiTheme="minorAscii" w:hAnsiTheme="minorAscii"/>
          <w:sz w:val="21"/>
          <w:szCs w:val="21"/>
          <w:lang w:val="en-US" w:eastAsia="zh-CN"/>
        </w:rPr>
        <w:t>http://panyu.jnu.edu.cn; http://pydj.jnu.edu.cn</w:t>
      </w:r>
      <w:r>
        <w:rPr>
          <w:rFonts w:hint="eastAsia" w:asciiTheme="minorAscii" w:hAnsiTheme="minorAscii"/>
          <w:sz w:val="21"/>
          <w:szCs w:val="21"/>
          <w:lang w:val="en-US" w:eastAsia="zh-CN"/>
        </w:rPr>
        <w:t>：</w:t>
      </w:r>
      <w:r>
        <w:rPr>
          <w:rFonts w:hint="default" w:asciiTheme="minorAscii" w:hAnsiTheme="minorAscii"/>
          <w:sz w:val="21"/>
          <w:szCs w:val="21"/>
          <w:lang w:val="en-US" w:eastAsia="zh-CN"/>
        </w:rPr>
        <w:t xml:space="preserve"> 检测到目标站点存在javascript框架库漏洞 </w:t>
      </w:r>
    </w:p>
    <w:p>
      <w:pPr>
        <w:spacing w:line="360" w:lineRule="auto"/>
        <w:rPr>
          <w:rFonts w:hint="default" w:asciiTheme="minorAscii" w:hAnsiTheme="minorAscii"/>
          <w:sz w:val="21"/>
          <w:szCs w:val="21"/>
          <w:lang w:val="en-US" w:eastAsia="zh-CN"/>
        </w:rPr>
      </w:pPr>
      <w:r>
        <w:rPr>
          <w:rFonts w:hint="default" w:asciiTheme="minorAscii" w:hAnsiTheme="minorAscii"/>
          <w:sz w:val="21"/>
          <w:szCs w:val="21"/>
          <w:lang w:val="en-US" w:eastAsia="zh-CN"/>
        </w:rPr>
        <w:t>http://pydj.jnu.edu.cn</w:t>
      </w:r>
      <w:r>
        <w:rPr>
          <w:rFonts w:hint="eastAsia" w:asciiTheme="minorAscii" w:hAnsiTheme="minorAscii"/>
          <w:sz w:val="21"/>
          <w:szCs w:val="21"/>
          <w:lang w:val="en-US" w:eastAsia="zh-CN"/>
        </w:rPr>
        <w:t>：</w:t>
      </w:r>
      <w:r>
        <w:rPr>
          <w:rFonts w:hint="default" w:asciiTheme="minorAscii" w:hAnsiTheme="minorAscii"/>
          <w:sz w:val="21"/>
          <w:szCs w:val="21"/>
          <w:lang w:val="en-US" w:eastAsia="zh-CN"/>
        </w:rPr>
        <w:t xml:space="preserve">检测到目标URL存在http host头攻击漏洞 </w:t>
      </w:r>
    </w:p>
    <w:p>
      <w:pPr>
        <w:rPr>
          <w:rFonts w:hint="eastAsia"/>
          <w:sz w:val="21"/>
          <w:szCs w:val="21"/>
        </w:rPr>
      </w:pPr>
      <w:r>
        <w:drawing>
          <wp:inline distT="0" distB="0" distL="114300" distR="114300">
            <wp:extent cx="5270500" cy="699770"/>
            <wp:effectExtent l="0" t="0" r="635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9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7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主机漏扫</w:t>
      </w:r>
    </w:p>
    <w:p>
      <w:pPr>
        <w:spacing w:line="360" w:lineRule="auto"/>
        <w:ind w:firstLine="420" w:firstLineChars="200"/>
        <w:rPr>
          <w:rFonts w:hint="default" w:asciiTheme="minorAscii" w:hAnsiTheme="minorAscii"/>
          <w:sz w:val="21"/>
          <w:szCs w:val="21"/>
        </w:rPr>
      </w:pPr>
      <w:r>
        <w:rPr>
          <w:rFonts w:hint="default" w:asciiTheme="minorAscii" w:hAnsiTheme="minorAscii"/>
          <w:sz w:val="21"/>
          <w:szCs w:val="21"/>
        </w:rPr>
        <w:t>主机漏扫中</w:t>
      </w:r>
      <w:r>
        <w:rPr>
          <w:rFonts w:hint="default" w:asciiTheme="minorAscii" w:hAnsiTheme="minorAscii"/>
          <w:sz w:val="21"/>
          <w:szCs w:val="21"/>
          <w:lang w:val="en-US" w:eastAsia="zh-CN"/>
        </w:rPr>
        <w:t>10.136.2.2</w:t>
      </w:r>
      <w:r>
        <w:rPr>
          <w:rFonts w:hint="eastAsia" w:asciiTheme="minorAscii" w:hAnsiTheme="minorAscii"/>
          <w:sz w:val="21"/>
          <w:szCs w:val="21"/>
          <w:lang w:val="en-US" w:eastAsia="zh-CN"/>
        </w:rPr>
        <w:t>和10.136.2.5</w:t>
      </w:r>
      <w:r>
        <w:rPr>
          <w:rFonts w:hint="default" w:asciiTheme="minorAscii" w:hAnsiTheme="minorAscii"/>
          <w:sz w:val="21"/>
          <w:szCs w:val="21"/>
          <w:lang w:val="en-US" w:eastAsia="zh-CN"/>
        </w:rPr>
        <w:t>存在中高危漏洞，</w:t>
      </w:r>
      <w:r>
        <w:rPr>
          <w:rFonts w:hint="default" w:asciiTheme="minorAscii" w:hAnsiTheme="minorAscii"/>
          <w:sz w:val="21"/>
          <w:szCs w:val="21"/>
        </w:rPr>
        <w:t>其余主机无中高危漏洞。</w:t>
      </w:r>
    </w:p>
    <w:p>
      <w:pPr>
        <w:spacing w:line="360" w:lineRule="auto"/>
        <w:rPr>
          <w:rFonts w:hint="default" w:asciiTheme="minorAscii" w:hAnsiTheme="minorAscii"/>
          <w:sz w:val="21"/>
          <w:szCs w:val="21"/>
          <w:lang w:val="en-US" w:eastAsia="zh-CN"/>
        </w:rPr>
      </w:pPr>
      <w:r>
        <w:rPr>
          <w:rFonts w:hint="default" w:asciiTheme="minorAscii" w:hAnsiTheme="minorAscii"/>
          <w:sz w:val="21"/>
          <w:szCs w:val="21"/>
          <w:lang w:val="en-US" w:eastAsia="zh-CN"/>
        </w:rPr>
        <w:t>漏洞情况如下:</w:t>
      </w:r>
    </w:p>
    <w:p>
      <w:pPr>
        <w:spacing w:line="360" w:lineRule="auto"/>
        <w:rPr>
          <w:rFonts w:hint="default" w:asciiTheme="minorAscii" w:hAnsiTheme="minorAscii"/>
          <w:sz w:val="21"/>
          <w:szCs w:val="21"/>
          <w:lang w:val="en-US" w:eastAsia="zh-CN"/>
        </w:rPr>
      </w:pPr>
      <w:r>
        <w:rPr>
          <w:rFonts w:hint="default" w:asciiTheme="minorAscii" w:hAnsiTheme="minorAscii"/>
          <w:sz w:val="21"/>
          <w:szCs w:val="21"/>
          <w:lang w:val="en-US" w:eastAsia="zh-CN"/>
        </w:rPr>
        <w:t>10.136.2.2; 10.136.2.5</w:t>
      </w:r>
      <w:r>
        <w:rPr>
          <w:rFonts w:hint="eastAsia" w:asciiTheme="minorAscii" w:hAnsiTheme="minorAscii"/>
          <w:sz w:val="21"/>
          <w:szCs w:val="21"/>
          <w:lang w:val="en-US" w:eastAsia="zh-CN"/>
        </w:rPr>
        <w:t>：</w:t>
      </w:r>
      <w:r>
        <w:rPr>
          <w:rFonts w:hint="default" w:asciiTheme="minorAscii" w:hAnsiTheme="minorAscii"/>
          <w:sz w:val="21"/>
          <w:szCs w:val="21"/>
          <w:lang w:val="en-US" w:eastAsia="zh-CN"/>
        </w:rPr>
        <w:t>SSL/TLS协议信息泄露漏洞(CVE-2016-2183)【原理扫描】</w:t>
      </w:r>
    </w:p>
    <w:p>
      <w:pPr>
        <w:spacing w:line="360" w:lineRule="auto"/>
        <w:rPr>
          <w:rFonts w:hint="default" w:asciiTheme="minorAscii" w:hAnsiTheme="minorAscii"/>
          <w:sz w:val="21"/>
          <w:szCs w:val="21"/>
          <w:lang w:val="en-US" w:eastAsia="zh-CN"/>
        </w:rPr>
      </w:pPr>
      <w:r>
        <w:rPr>
          <w:rFonts w:hint="default" w:asciiTheme="minorAscii" w:hAnsiTheme="minorAscii"/>
          <w:sz w:val="21"/>
          <w:szCs w:val="21"/>
          <w:lang w:val="en-US" w:eastAsia="zh-CN"/>
        </w:rPr>
        <w:t>10.136.2.5</w:t>
      </w:r>
      <w:r>
        <w:rPr>
          <w:rFonts w:hint="eastAsia" w:asciiTheme="minorAscii" w:hAnsiTheme="minorAscii"/>
          <w:sz w:val="21"/>
          <w:szCs w:val="21"/>
          <w:lang w:val="en-US" w:eastAsia="zh-CN"/>
        </w:rPr>
        <w:t>：</w:t>
      </w:r>
      <w:r>
        <w:rPr>
          <w:rFonts w:hint="default" w:asciiTheme="minorAscii" w:hAnsiTheme="minorAscii"/>
          <w:sz w:val="21"/>
          <w:szCs w:val="21"/>
          <w:lang w:val="en-US" w:eastAsia="zh-CN"/>
        </w:rPr>
        <w:t>SSL/TLS RC4 信息泄露漏洞(CVE-2013-2566)【原理扫描】</w:t>
      </w:r>
    </w:p>
    <w:p>
      <w:pPr>
        <w:spacing w:line="360" w:lineRule="auto"/>
        <w:rPr>
          <w:rFonts w:hint="default" w:asciiTheme="minorAscii" w:hAnsiTheme="minorAscii"/>
          <w:sz w:val="21"/>
          <w:szCs w:val="21"/>
          <w:lang w:val="en-US" w:eastAsia="zh-CN"/>
        </w:rPr>
      </w:pPr>
      <w:r>
        <w:rPr>
          <w:rFonts w:hint="default" w:asciiTheme="minorAscii" w:hAnsiTheme="minorAscii"/>
          <w:sz w:val="21"/>
          <w:szCs w:val="21"/>
          <w:lang w:val="en-US" w:eastAsia="zh-CN"/>
        </w:rPr>
        <w:t>10.136.2.5</w:t>
      </w:r>
      <w:r>
        <w:rPr>
          <w:rFonts w:hint="eastAsia" w:asciiTheme="minorAscii" w:hAnsiTheme="minorAscii"/>
          <w:sz w:val="21"/>
          <w:szCs w:val="21"/>
          <w:lang w:val="en-US" w:eastAsia="zh-CN"/>
        </w:rPr>
        <w:t>：</w:t>
      </w:r>
      <w:r>
        <w:rPr>
          <w:rFonts w:hint="default" w:asciiTheme="minorAscii" w:hAnsiTheme="minorAscii"/>
          <w:sz w:val="21"/>
          <w:szCs w:val="21"/>
          <w:lang w:val="en-US" w:eastAsia="zh-CN"/>
        </w:rPr>
        <w:t>SSL/TLS 受诫礼(BAR-MITZVAH)攻击漏洞(CVE-2015-2808)【原理扫描】</w:t>
      </w:r>
    </w:p>
    <w:p>
      <w:pPr>
        <w:spacing w:line="360" w:lineRule="auto"/>
      </w:pPr>
      <w:r>
        <w:drawing>
          <wp:inline distT="0" distB="0" distL="114300" distR="114300">
            <wp:extent cx="5271135" cy="716915"/>
            <wp:effectExtent l="0" t="0" r="571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1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/>
        </w:rPr>
      </w:pPr>
      <w:r>
        <w:drawing>
          <wp:inline distT="0" distB="0" distL="114300" distR="114300">
            <wp:extent cx="5270500" cy="781050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其他网络安全检查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其他网络安全检查还有日志接入与配置核查，其中配置核查需要</w:t>
      </w:r>
      <w:r>
        <w:rPr>
          <w:rFonts w:hint="eastAsia" w:ascii="等线" w:hAnsi="等线" w:eastAsia="等线" w:cs="等线"/>
          <w:sz w:val="21"/>
          <w:szCs w:val="21"/>
        </w:rPr>
        <w:t>番禺</w:t>
      </w:r>
      <w:r>
        <w:rPr>
          <w:rFonts w:hint="eastAsia" w:ascii="等线" w:hAnsi="等线" w:eastAsia="等线" w:cs="等线"/>
          <w:sz w:val="21"/>
          <w:szCs w:val="21"/>
          <w:lang w:val="en-US" w:eastAsia="zh-CN"/>
        </w:rPr>
        <w:t>校区</w:t>
      </w:r>
      <w:r>
        <w:rPr>
          <w:rFonts w:hint="eastAsia" w:ascii="等线" w:hAnsi="等线" w:eastAsia="等线" w:cs="等线"/>
          <w:sz w:val="21"/>
          <w:szCs w:val="21"/>
        </w:rPr>
        <w:t>管理委员会</w:t>
      </w:r>
      <w:r>
        <w:rPr>
          <w:rFonts w:hint="eastAsia"/>
        </w:rPr>
        <w:t>配合进行详细检查，日志接入大致如下：</w:t>
      </w:r>
    </w:p>
    <w:p>
      <w:pPr>
        <w:pStyle w:val="7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日志接入</w:t>
      </w:r>
    </w:p>
    <w:p>
      <w:r>
        <w:tab/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个系统中有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个系统日志需要进行配置或者</w:t>
      </w:r>
      <w:r>
        <w:rPr>
          <w:rFonts w:hint="eastAsia" w:ascii="等线" w:hAnsi="等线" w:eastAsia="等线" w:cs="等线"/>
          <w:sz w:val="21"/>
          <w:szCs w:val="21"/>
        </w:rPr>
        <w:t>番禺</w:t>
      </w:r>
      <w:r>
        <w:rPr>
          <w:rFonts w:hint="eastAsia" w:ascii="等线" w:hAnsi="等线" w:eastAsia="等线" w:cs="等线"/>
          <w:sz w:val="21"/>
          <w:szCs w:val="21"/>
          <w:lang w:val="en-US" w:eastAsia="zh-CN"/>
        </w:rPr>
        <w:t>校区</w:t>
      </w:r>
      <w:r>
        <w:rPr>
          <w:rFonts w:hint="eastAsia" w:ascii="等线" w:hAnsi="等线" w:eastAsia="等线" w:cs="等线"/>
          <w:sz w:val="21"/>
          <w:szCs w:val="21"/>
        </w:rPr>
        <w:t>管理委员会</w:t>
      </w:r>
      <w:r>
        <w:rPr>
          <w:rFonts w:hint="eastAsia"/>
        </w:rPr>
        <w:t>帮忙查看是否配置。</w:t>
      </w:r>
    </w:p>
    <w:p/>
    <w:p>
      <w:pPr>
        <w:spacing w:line="360" w:lineRule="auto"/>
        <w:ind w:firstLine="420" w:firstLineChars="200"/>
      </w:pPr>
      <w:r>
        <w:rPr>
          <w:rFonts w:hint="eastAsia"/>
        </w:rPr>
        <w:t>以下表格记录了日志接入情况：</w:t>
      </w:r>
    </w:p>
    <w:tbl>
      <w:tblPr>
        <w:tblStyle w:val="31"/>
        <w:tblW w:w="0" w:type="auto"/>
        <w:jc w:val="center"/>
        <w:tblBorders>
          <w:top w:val="single" w:color="9CC2E5" w:themeColor="accent5" w:themeTint="99" w:sz="4" w:space="0"/>
          <w:left w:val="single" w:color="9CC2E5" w:themeColor="accent5" w:themeTint="99" w:sz="4" w:space="0"/>
          <w:bottom w:val="single" w:color="9CC2E5" w:themeColor="accent5" w:themeTint="99" w:sz="4" w:space="0"/>
          <w:right w:val="single" w:color="9CC2E5" w:themeColor="accent5" w:themeTint="99" w:sz="4" w:space="0"/>
          <w:insideH w:val="single" w:color="9CC2E5" w:themeColor="accent5" w:themeTint="99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3"/>
        <w:gridCol w:w="2095"/>
        <w:gridCol w:w="1616"/>
        <w:gridCol w:w="2072"/>
      </w:tblGrid>
      <w:tr>
        <w:tblPrEx>
          <w:tblBorders>
            <w:top w:val="single" w:color="9CC2E5" w:themeColor="accent5" w:themeTint="99" w:sz="4" w:space="0"/>
            <w:left w:val="single" w:color="9CC2E5" w:themeColor="accent5" w:themeTint="99" w:sz="4" w:space="0"/>
            <w:bottom w:val="single" w:color="9CC2E5" w:themeColor="accent5" w:themeTint="99" w:sz="4" w:space="0"/>
            <w:right w:val="single" w:color="9CC2E5" w:themeColor="accent5" w:themeTint="99" w:sz="4" w:space="0"/>
            <w:insideH w:val="single" w:color="9CC2E5" w:themeColor="accent5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5B9BD5" w:themeFill="accent5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域名</w:t>
            </w:r>
          </w:p>
        </w:tc>
        <w:tc>
          <w:tcPr>
            <w:tcW w:w="209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5B9BD5" w:themeFill="accent5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I</w:t>
            </w: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P</w:t>
            </w:r>
          </w:p>
        </w:tc>
        <w:tc>
          <w:tcPr>
            <w:tcW w:w="161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5B9BD5" w:themeFill="accent5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系统日志</w:t>
            </w:r>
          </w:p>
        </w:tc>
        <w:tc>
          <w:tcPr>
            <w:tcW w:w="207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5B9BD5" w:themeFill="accent5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web日志</w:t>
            </w:r>
          </w:p>
        </w:tc>
      </w:tr>
      <w:tr>
        <w:tblPrEx>
          <w:tblBorders>
            <w:top w:val="single" w:color="9CC2E5" w:themeColor="accent5" w:themeTint="99" w:sz="4" w:space="0"/>
            <w:left w:val="single" w:color="9CC2E5" w:themeColor="accent5" w:themeTint="99" w:sz="4" w:space="0"/>
            <w:bottom w:val="single" w:color="9CC2E5" w:themeColor="accent5" w:themeTint="99" w:sz="4" w:space="0"/>
            <w:right w:val="single" w:color="9CC2E5" w:themeColor="accent5" w:themeTint="99" w:sz="4" w:space="0"/>
            <w:insideH w:val="single" w:color="9CC2E5" w:themeColor="accent5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panyu.jnu.edu.cn</w:t>
            </w:r>
          </w:p>
        </w:tc>
        <w:tc>
          <w:tcPr>
            <w:tcW w:w="209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192.168.22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88</w:t>
            </w:r>
          </w:p>
        </w:tc>
        <w:tc>
          <w:tcPr>
            <w:tcW w:w="161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5" w:themeFillTint="33"/>
          </w:tcPr>
          <w:p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已经接入</w:t>
            </w:r>
          </w:p>
        </w:tc>
        <w:tc>
          <w:tcPr>
            <w:tcW w:w="207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5" w:themeFillTint="33"/>
          </w:tcPr>
          <w:p>
            <w:pPr>
              <w:spacing w:line="360" w:lineRule="auto"/>
              <w:ind w:right="21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已经接入</w:t>
            </w:r>
          </w:p>
        </w:tc>
      </w:tr>
      <w:tr>
        <w:tblPrEx>
          <w:tblBorders>
            <w:top w:val="single" w:color="9CC2E5" w:themeColor="accent5" w:themeTint="99" w:sz="4" w:space="0"/>
            <w:left w:val="single" w:color="9CC2E5" w:themeColor="accent5" w:themeTint="99" w:sz="4" w:space="0"/>
            <w:bottom w:val="single" w:color="9CC2E5" w:themeColor="accent5" w:themeTint="99" w:sz="4" w:space="0"/>
            <w:right w:val="single" w:color="9CC2E5" w:themeColor="accent5" w:themeTint="99" w:sz="4" w:space="0"/>
            <w:insideH w:val="single" w:color="9CC2E5" w:themeColor="accent5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pydj.jnu.edu.cn</w:t>
            </w:r>
          </w:p>
        </w:tc>
        <w:tc>
          <w:tcPr>
            <w:tcW w:w="209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192.168.2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214</w:t>
            </w:r>
          </w:p>
        </w:tc>
        <w:tc>
          <w:tcPr>
            <w:tcW w:w="161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已经接入</w:t>
            </w:r>
          </w:p>
        </w:tc>
        <w:tc>
          <w:tcPr>
            <w:tcW w:w="207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已经接入</w:t>
            </w:r>
          </w:p>
        </w:tc>
      </w:tr>
      <w:tr>
        <w:tblPrEx>
          <w:tblBorders>
            <w:top w:val="single" w:color="9CC2E5" w:themeColor="accent5" w:themeTint="99" w:sz="4" w:space="0"/>
            <w:left w:val="single" w:color="9CC2E5" w:themeColor="accent5" w:themeTint="99" w:sz="4" w:space="0"/>
            <w:bottom w:val="single" w:color="9CC2E5" w:themeColor="accent5" w:themeTint="99" w:sz="4" w:space="0"/>
            <w:right w:val="single" w:color="9CC2E5" w:themeColor="accent5" w:themeTint="99" w:sz="4" w:space="0"/>
            <w:insideH w:val="single" w:color="9CC2E5" w:themeColor="accent5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3" w:type="dxa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pysdapi.jnu.edu.cn</w:t>
            </w:r>
          </w:p>
        </w:tc>
        <w:tc>
          <w:tcPr>
            <w:tcW w:w="2095" w:type="dxa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10.136.2.2</w:t>
            </w:r>
          </w:p>
        </w:tc>
        <w:tc>
          <w:tcPr>
            <w:tcW w:w="1616" w:type="dxa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</w:tcPr>
          <w:p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需要上服务器确认是否配置</w:t>
            </w:r>
          </w:p>
        </w:tc>
        <w:tc>
          <w:tcPr>
            <w:tcW w:w="2072" w:type="dxa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</w:tcPr>
          <w:p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需要上服务器确认是否配置</w:t>
            </w:r>
          </w:p>
        </w:tc>
      </w:tr>
      <w:tr>
        <w:tblPrEx>
          <w:tblBorders>
            <w:top w:val="single" w:color="9CC2E5" w:themeColor="accent5" w:themeTint="99" w:sz="4" w:space="0"/>
            <w:left w:val="single" w:color="9CC2E5" w:themeColor="accent5" w:themeTint="99" w:sz="4" w:space="0"/>
            <w:bottom w:val="single" w:color="9CC2E5" w:themeColor="accent5" w:themeTint="99" w:sz="4" w:space="0"/>
            <w:right w:val="single" w:color="9CC2E5" w:themeColor="accent5" w:themeTint="99" w:sz="4" w:space="0"/>
            <w:insideH w:val="single" w:color="9CC2E5" w:themeColor="accent5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pynhcx.jnu.edu.cn</w:t>
            </w:r>
          </w:p>
        </w:tc>
        <w:tc>
          <w:tcPr>
            <w:tcW w:w="2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10.136.2.5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2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已经接入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已经接入</w:t>
            </w:r>
          </w:p>
        </w:tc>
      </w:tr>
    </w:tbl>
    <w:p>
      <w:pPr>
        <w:pStyle w:val="7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Webshell情况</w:t>
      </w:r>
    </w:p>
    <w:p>
      <w:pPr>
        <w:ind w:firstLine="420" w:firstLineChars="200"/>
        <w:rPr>
          <w:rFonts w:hint="default" w:asciiTheme="minorAscii" w:hAnsiTheme="minorAscii" w:eastAsiaTheme="minorEastAsia"/>
          <w:sz w:val="21"/>
          <w:szCs w:val="21"/>
          <w:lang w:val="en-US" w:eastAsia="zh-CN"/>
        </w:rPr>
      </w:pPr>
      <w:r>
        <w:rPr>
          <w:rFonts w:hint="default" w:asciiTheme="minorAscii" w:hAnsiTheme="minorAscii"/>
          <w:sz w:val="21"/>
          <w:szCs w:val="21"/>
          <w:lang w:val="en-US" w:eastAsia="zh-CN"/>
        </w:rPr>
        <w:t>除</w:t>
      </w:r>
      <w:r>
        <w:rPr>
          <w:rFonts w:hint="default" w:asciiTheme="minorAscii" w:hAnsiTheme="minorAscii" w:eastAsiaTheme="minorEastAsia" w:cstheme="minorEastAsia"/>
          <w:sz w:val="21"/>
          <w:szCs w:val="21"/>
          <w:lang w:val="en-US" w:eastAsia="zh-CN"/>
        </w:rPr>
        <w:t>pysdapi.jnu.edu.cn</w:t>
      </w:r>
      <w:r>
        <w:rPr>
          <w:rFonts w:hint="default" w:asciiTheme="minorAscii" w:hAnsiTheme="minorAscii" w:cstheme="minorEastAsia"/>
          <w:sz w:val="21"/>
          <w:szCs w:val="21"/>
          <w:lang w:val="en-US" w:eastAsia="zh-CN"/>
        </w:rPr>
        <w:t>(</w:t>
      </w:r>
      <w:r>
        <w:rPr>
          <w:rFonts w:hint="default" w:asciiTheme="minorAscii" w:hAnsiTheme="minorAscii" w:eastAsiaTheme="minorEastAsia" w:cstheme="minorEastAsia"/>
          <w:sz w:val="21"/>
          <w:szCs w:val="21"/>
        </w:rPr>
        <w:t>暨南大学番禺校区宿舍能耗查询系统</w:t>
      </w:r>
      <w:r>
        <w:rPr>
          <w:rFonts w:hint="default" w:asciiTheme="minorAscii" w:hAnsiTheme="minorAscii" w:cstheme="minorEastAsia"/>
          <w:sz w:val="21"/>
          <w:szCs w:val="21"/>
          <w:lang w:val="en-US" w:eastAsia="zh-CN"/>
        </w:rPr>
        <w:t>)和</w:t>
      </w:r>
      <w:r>
        <w:rPr>
          <w:rFonts w:hint="default" w:asciiTheme="minorAscii" w:hAnsiTheme="minorAscii" w:eastAsiaTheme="minorEastAsia" w:cstheme="minorEastAsia"/>
          <w:sz w:val="21"/>
          <w:szCs w:val="21"/>
        </w:rPr>
        <w:t>pynhcx.jnu.edu.cn</w:t>
      </w:r>
      <w:r>
        <w:rPr>
          <w:rFonts w:hint="default" w:asciiTheme="minorAscii" w:hAnsiTheme="minorAscii" w:cstheme="minorEastAsia"/>
          <w:sz w:val="21"/>
          <w:szCs w:val="21"/>
          <w:lang w:val="en-US" w:eastAsia="zh-CN"/>
        </w:rPr>
        <w:t>(</w:t>
      </w:r>
      <w:r>
        <w:rPr>
          <w:rFonts w:hint="default" w:asciiTheme="minorAscii" w:hAnsiTheme="minorAscii" w:eastAsiaTheme="minorEastAsia" w:cstheme="minorEastAsia"/>
          <w:sz w:val="21"/>
          <w:szCs w:val="21"/>
        </w:rPr>
        <w:t>暨南大学番禺校区宿舍能耗查询系统</w:t>
      </w:r>
      <w:r>
        <w:rPr>
          <w:rFonts w:hint="default" w:asciiTheme="minorAscii" w:hAnsiTheme="minorAscii" w:cstheme="minorEastAsia"/>
          <w:sz w:val="21"/>
          <w:szCs w:val="21"/>
          <w:lang w:val="en-US" w:eastAsia="zh-CN"/>
        </w:rPr>
        <w:t>)</w:t>
      </w:r>
      <w:r>
        <w:rPr>
          <w:rFonts w:hint="default" w:asciiTheme="minorAscii" w:hAnsiTheme="minorAscii"/>
          <w:sz w:val="21"/>
          <w:szCs w:val="21"/>
        </w:rPr>
        <w:t>未进行</w:t>
      </w:r>
      <w:r>
        <w:rPr>
          <w:rFonts w:hint="default" w:asciiTheme="minorAscii" w:hAnsiTheme="minorAscii"/>
          <w:sz w:val="21"/>
          <w:szCs w:val="21"/>
          <w:lang w:val="en-US" w:eastAsia="zh-CN"/>
        </w:rPr>
        <w:t>webshell</w:t>
      </w:r>
      <w:r>
        <w:rPr>
          <w:rFonts w:hint="default" w:asciiTheme="minorAscii" w:hAnsiTheme="minorAscii"/>
          <w:sz w:val="21"/>
          <w:szCs w:val="21"/>
        </w:rPr>
        <w:t>扫描</w:t>
      </w:r>
      <w:r>
        <w:rPr>
          <w:rFonts w:hint="default" w:asciiTheme="minorAscii" w:hAnsiTheme="minorAscii"/>
          <w:sz w:val="21"/>
          <w:szCs w:val="21"/>
          <w:lang w:val="en-US" w:eastAsia="zh-CN"/>
        </w:rPr>
        <w:t>外，其余系统均已进行扫描。</w:t>
      </w:r>
    </w:p>
    <w:p>
      <w:pPr>
        <w:pStyle w:val="7"/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p>
      <w:pPr>
        <w:pStyle w:val="7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弱密码情况</w:t>
      </w:r>
    </w:p>
    <w:p>
      <w:r>
        <w:tab/>
      </w:r>
      <w:r>
        <w:rPr>
          <w:rFonts w:hint="eastAsia"/>
        </w:rPr>
        <w:t>所有</w:t>
      </w:r>
      <w:r>
        <w:rPr>
          <w:rFonts w:hint="eastAsia"/>
          <w:lang w:val="en-US" w:eastAsia="zh-CN"/>
        </w:rPr>
        <w:t>系统暂未发现弱密码问题</w:t>
      </w:r>
      <w:r>
        <w:rPr>
          <w:rFonts w:hint="eastAsia"/>
        </w:rPr>
        <w:t>。</w:t>
      </w:r>
    </w:p>
    <w:tbl>
      <w:tblPr>
        <w:tblStyle w:val="31"/>
        <w:tblpPr w:leftFromText="180" w:rightFromText="180" w:vertAnchor="text" w:horzAnchor="page" w:tblpX="1740" w:tblpY="1284"/>
        <w:tblOverlap w:val="never"/>
        <w:tblW w:w="8785" w:type="dxa"/>
        <w:tblInd w:w="0" w:type="dxa"/>
        <w:tblBorders>
          <w:top w:val="single" w:color="9CC2E5" w:themeColor="accent5" w:themeTint="99" w:sz="4" w:space="0"/>
          <w:left w:val="single" w:color="9CC2E5" w:themeColor="accent5" w:themeTint="99" w:sz="4" w:space="0"/>
          <w:bottom w:val="single" w:color="9CC2E5" w:themeColor="accent5" w:themeTint="99" w:sz="4" w:space="0"/>
          <w:right w:val="single" w:color="9CC2E5" w:themeColor="accent5" w:themeTint="99" w:sz="4" w:space="0"/>
          <w:insideH w:val="single" w:color="9CC2E5" w:themeColor="accent5" w:themeTint="99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3105"/>
        <w:gridCol w:w="1725"/>
        <w:gridCol w:w="1485"/>
        <w:gridCol w:w="690"/>
        <w:gridCol w:w="1073"/>
      </w:tblGrid>
      <w:tr>
        <w:tblPrEx>
          <w:tblBorders>
            <w:top w:val="single" w:color="9CC2E5" w:themeColor="accent5" w:themeTint="99" w:sz="4" w:space="0"/>
            <w:left w:val="single" w:color="9CC2E5" w:themeColor="accent5" w:themeTint="99" w:sz="4" w:space="0"/>
            <w:bottom w:val="single" w:color="9CC2E5" w:themeColor="accent5" w:themeTint="99" w:sz="4" w:space="0"/>
            <w:right w:val="single" w:color="9CC2E5" w:themeColor="accent5" w:themeTint="99" w:sz="4" w:space="0"/>
            <w:insideH w:val="single" w:color="9CC2E5" w:themeColor="accent5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 w:themeFill="accent5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序号</w:t>
            </w: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 w:themeFill="accent5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系统名称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 w:themeFill="accent5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域名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 w:themeFill="accent5"/>
          </w:tcPr>
          <w:p>
            <w:pPr>
              <w:spacing w:line="60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I</w:t>
            </w: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P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 w:themeFill="accent5"/>
          </w:tcPr>
          <w:p>
            <w:pPr>
              <w:spacing w:line="600" w:lineRule="auto"/>
              <w:jc w:val="center"/>
              <w:rPr>
                <w:rFonts w:hint="eastAsia" w:eastAsiaTheme="minorEastAsia"/>
                <w:b/>
                <w:bCs/>
                <w:color w:val="FFFFFF" w:themeColor="background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状态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 w:themeFill="accent5"/>
          </w:tcPr>
          <w:p>
            <w:pPr>
              <w:spacing w:line="600" w:lineRule="auto"/>
              <w:jc w:val="center"/>
              <w:rPr>
                <w:rFonts w:hint="default"/>
                <w:b/>
                <w:bCs/>
                <w:color w:val="FFFFFF" w:themeColor="background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是否到期</w:t>
            </w:r>
          </w:p>
        </w:tc>
      </w:tr>
      <w:tr>
        <w:tblPrEx>
          <w:tblBorders>
            <w:top w:val="single" w:color="9CC2E5" w:themeColor="accent5" w:themeTint="99" w:sz="4" w:space="0"/>
            <w:left w:val="single" w:color="9CC2E5" w:themeColor="accent5" w:themeTint="99" w:sz="4" w:space="0"/>
            <w:bottom w:val="single" w:color="9CC2E5" w:themeColor="accent5" w:themeTint="99" w:sz="4" w:space="0"/>
            <w:right w:val="single" w:color="9CC2E5" w:themeColor="accent5" w:themeTint="99" w:sz="4" w:space="0"/>
            <w:insideH w:val="single" w:color="9CC2E5" w:themeColor="accent5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暨南大学番禺校区主页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panyu.jnu.edu.cn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192.168.22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88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在用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9CC2E5" w:themeColor="accent5" w:themeTint="99" w:sz="4" w:space="0"/>
            <w:left w:val="single" w:color="9CC2E5" w:themeColor="accent5" w:themeTint="99" w:sz="4" w:space="0"/>
            <w:bottom w:val="single" w:color="9CC2E5" w:themeColor="accent5" w:themeTint="99" w:sz="4" w:space="0"/>
            <w:right w:val="single" w:color="9CC2E5" w:themeColor="accent5" w:themeTint="99" w:sz="4" w:space="0"/>
            <w:insideH w:val="single" w:color="9CC2E5" w:themeColor="accent5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暨南大学番禺校区党建网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pydj.jnu.edu.cn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192.168.2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214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在用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9CC2E5" w:themeColor="accent5" w:themeTint="99" w:sz="4" w:space="0"/>
            <w:left w:val="single" w:color="9CC2E5" w:themeColor="accent5" w:themeTint="99" w:sz="4" w:space="0"/>
            <w:bottom w:val="single" w:color="9CC2E5" w:themeColor="accent5" w:themeTint="99" w:sz="4" w:space="0"/>
            <w:right w:val="single" w:color="9CC2E5" w:themeColor="accent5" w:themeTint="99" w:sz="4" w:space="0"/>
            <w:insideH w:val="single" w:color="9CC2E5" w:themeColor="accent5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3</w:t>
            </w: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暨南大学番禺校区宿舍能耗查询系统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pysdapi.jnu.edu.cn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10.136.2.2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在用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9CC2E5" w:themeColor="accent5" w:themeTint="99" w:sz="4" w:space="0"/>
            <w:left w:val="single" w:color="9CC2E5" w:themeColor="accent5" w:themeTint="99" w:sz="4" w:space="0"/>
            <w:bottom w:val="single" w:color="9CC2E5" w:themeColor="accent5" w:themeTint="99" w:sz="4" w:space="0"/>
            <w:right w:val="single" w:color="9CC2E5" w:themeColor="accent5" w:themeTint="99" w:sz="4" w:space="0"/>
            <w:insideH w:val="single" w:color="9CC2E5" w:themeColor="accent5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4</w:t>
            </w: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暨南大学番禺校区宿舍能耗查询系统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pynhcx.jnu.edu.cn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10.136.2.5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在用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否</w:t>
            </w:r>
          </w:p>
        </w:tc>
      </w:tr>
    </w:tbl>
    <w:p>
      <w:pP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系统使用状态</w:t>
      </w:r>
    </w:p>
    <w:p>
      <w:pPr>
        <w:pStyle w:val="7"/>
      </w:pPr>
      <w:r>
        <w:rPr>
          <w:rFonts w:hint="eastAsia"/>
        </w:rPr>
        <w:t>双非网站情况</w:t>
      </w:r>
    </w:p>
    <w:p>
      <w:pPr>
        <w:rPr>
          <w:rFonts w:hint="eastAsia" w:eastAsia="等线"/>
          <w:lang w:val="en-US" w:eastAsia="zh-CN"/>
        </w:rPr>
      </w:pPr>
      <w:r>
        <w:tab/>
      </w:r>
      <w:r>
        <w:rPr>
          <w:rFonts w:hint="eastAsia" w:ascii="等线" w:hAnsi="等线" w:eastAsia="等线" w:cs="等线"/>
          <w:sz w:val="21"/>
          <w:szCs w:val="21"/>
        </w:rPr>
        <w:t>番禺</w:t>
      </w:r>
      <w:r>
        <w:rPr>
          <w:rFonts w:hint="eastAsia" w:ascii="等线" w:hAnsi="等线" w:eastAsia="等线" w:cs="等线"/>
          <w:sz w:val="21"/>
          <w:szCs w:val="21"/>
          <w:lang w:val="en-US" w:eastAsia="zh-CN"/>
        </w:rPr>
        <w:t>校区</w:t>
      </w:r>
      <w:r>
        <w:rPr>
          <w:rFonts w:hint="eastAsia" w:ascii="等线" w:hAnsi="等线" w:eastAsia="等线" w:cs="等线"/>
          <w:sz w:val="21"/>
          <w:szCs w:val="21"/>
        </w:rPr>
        <w:t>管理委员会</w:t>
      </w:r>
      <w:r>
        <w:rPr>
          <w:rFonts w:hint="eastAsia" w:eastAsia="等线"/>
          <w:lang w:val="en-US" w:eastAsia="zh-CN"/>
        </w:rPr>
        <w:t>暂未发现双非网站。</w:t>
      </w:r>
    </w:p>
    <w:p>
      <w:pPr>
        <w:rPr>
          <w:rFonts w:hint="eastAsia" w:eastAsia="等线"/>
          <w:lang w:val="en-US" w:eastAsia="zh-CN"/>
        </w:rPr>
      </w:pPr>
    </w:p>
    <w:p>
      <w:pPr>
        <w:rPr>
          <w:rFonts w:hint="eastAsia" w:eastAsia="等线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报告总结</w:t>
      </w:r>
    </w:p>
    <w:p>
      <w:pPr>
        <w:pStyle w:val="5"/>
        <w:ind w:firstLine="420" w:firstLineChars="200"/>
        <w:rPr>
          <w:rFonts w:hint="default" w:eastAsia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  <w:t>请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</w:rPr>
        <w:t>对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  <w:t>漏洞扫描中存在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</w:rPr>
        <w:t>中高危的网站与主机进行修复。未进行日志接入的主机与webshell扫描的网站，需要进行日志接入配置与webshell扫描，并且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  <w:t>需要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</w:rPr>
        <w:t>对各域名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  <w:t>所在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</w:rPr>
        <w:t>的主机进行详细的配置核查。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407"/>
    <w:rsid w:val="00044AFB"/>
    <w:rsid w:val="0005612C"/>
    <w:rsid w:val="00092826"/>
    <w:rsid w:val="000A1530"/>
    <w:rsid w:val="00150631"/>
    <w:rsid w:val="001926AA"/>
    <w:rsid w:val="001F764C"/>
    <w:rsid w:val="00232CB6"/>
    <w:rsid w:val="0026305F"/>
    <w:rsid w:val="00275407"/>
    <w:rsid w:val="002939EA"/>
    <w:rsid w:val="002E09D7"/>
    <w:rsid w:val="002F79F8"/>
    <w:rsid w:val="00305B77"/>
    <w:rsid w:val="00321F58"/>
    <w:rsid w:val="003B7FE8"/>
    <w:rsid w:val="003D025C"/>
    <w:rsid w:val="003D72EA"/>
    <w:rsid w:val="004037B9"/>
    <w:rsid w:val="00407B82"/>
    <w:rsid w:val="005F29F6"/>
    <w:rsid w:val="00615AB4"/>
    <w:rsid w:val="00633D59"/>
    <w:rsid w:val="00641E35"/>
    <w:rsid w:val="006941B9"/>
    <w:rsid w:val="00816193"/>
    <w:rsid w:val="008755A1"/>
    <w:rsid w:val="008A1D43"/>
    <w:rsid w:val="008E2878"/>
    <w:rsid w:val="00903D08"/>
    <w:rsid w:val="00951519"/>
    <w:rsid w:val="0098206D"/>
    <w:rsid w:val="00986C43"/>
    <w:rsid w:val="009C0F92"/>
    <w:rsid w:val="00B02CDC"/>
    <w:rsid w:val="00B2421C"/>
    <w:rsid w:val="00B357F7"/>
    <w:rsid w:val="00BF6A64"/>
    <w:rsid w:val="00CF512E"/>
    <w:rsid w:val="00D6521B"/>
    <w:rsid w:val="00DD1B8D"/>
    <w:rsid w:val="00ED694A"/>
    <w:rsid w:val="00F5154D"/>
    <w:rsid w:val="00FD3A88"/>
    <w:rsid w:val="012A0989"/>
    <w:rsid w:val="017F5DEB"/>
    <w:rsid w:val="01DC16D5"/>
    <w:rsid w:val="029334E8"/>
    <w:rsid w:val="03630182"/>
    <w:rsid w:val="0367479F"/>
    <w:rsid w:val="04584766"/>
    <w:rsid w:val="04B2316F"/>
    <w:rsid w:val="06420522"/>
    <w:rsid w:val="06A411DD"/>
    <w:rsid w:val="07197169"/>
    <w:rsid w:val="08572009"/>
    <w:rsid w:val="0A073F5D"/>
    <w:rsid w:val="0CCA3020"/>
    <w:rsid w:val="0D4977E2"/>
    <w:rsid w:val="0FAC6153"/>
    <w:rsid w:val="13C06F2A"/>
    <w:rsid w:val="145703A2"/>
    <w:rsid w:val="14EA30AD"/>
    <w:rsid w:val="16C37A44"/>
    <w:rsid w:val="17162FEC"/>
    <w:rsid w:val="1A366198"/>
    <w:rsid w:val="1AC47300"/>
    <w:rsid w:val="2277734E"/>
    <w:rsid w:val="26102EB1"/>
    <w:rsid w:val="279D560E"/>
    <w:rsid w:val="27BF157B"/>
    <w:rsid w:val="28897026"/>
    <w:rsid w:val="28C36E49"/>
    <w:rsid w:val="29165DE1"/>
    <w:rsid w:val="2A622692"/>
    <w:rsid w:val="2C8F6502"/>
    <w:rsid w:val="2E6D7F83"/>
    <w:rsid w:val="2FD162F0"/>
    <w:rsid w:val="307355F9"/>
    <w:rsid w:val="30CB3765"/>
    <w:rsid w:val="31C30439"/>
    <w:rsid w:val="3287538B"/>
    <w:rsid w:val="35365A59"/>
    <w:rsid w:val="39930ABA"/>
    <w:rsid w:val="3A127E3A"/>
    <w:rsid w:val="3A3E4582"/>
    <w:rsid w:val="3AE01ADD"/>
    <w:rsid w:val="3D0433A8"/>
    <w:rsid w:val="3DD07BE6"/>
    <w:rsid w:val="3E377C66"/>
    <w:rsid w:val="3EA82911"/>
    <w:rsid w:val="3F3C52C8"/>
    <w:rsid w:val="3F501D56"/>
    <w:rsid w:val="402B1A4C"/>
    <w:rsid w:val="40E23BE4"/>
    <w:rsid w:val="40E7552C"/>
    <w:rsid w:val="42D33CD5"/>
    <w:rsid w:val="439711A6"/>
    <w:rsid w:val="441677F8"/>
    <w:rsid w:val="44832363"/>
    <w:rsid w:val="456443B5"/>
    <w:rsid w:val="486F12A8"/>
    <w:rsid w:val="48EE7ABB"/>
    <w:rsid w:val="49EB7B56"/>
    <w:rsid w:val="4A3E237C"/>
    <w:rsid w:val="4A621E0D"/>
    <w:rsid w:val="4A8561FD"/>
    <w:rsid w:val="4CB22BAD"/>
    <w:rsid w:val="51024103"/>
    <w:rsid w:val="5118333D"/>
    <w:rsid w:val="518C60C3"/>
    <w:rsid w:val="559C31FF"/>
    <w:rsid w:val="57336F6A"/>
    <w:rsid w:val="57AA104B"/>
    <w:rsid w:val="58810003"/>
    <w:rsid w:val="58975289"/>
    <w:rsid w:val="592A20DD"/>
    <w:rsid w:val="5ACF6D7B"/>
    <w:rsid w:val="5B904E39"/>
    <w:rsid w:val="5C2238AB"/>
    <w:rsid w:val="5C9E3955"/>
    <w:rsid w:val="5CB345BE"/>
    <w:rsid w:val="5CE952DC"/>
    <w:rsid w:val="5D4C4CF3"/>
    <w:rsid w:val="609252E7"/>
    <w:rsid w:val="611D6D37"/>
    <w:rsid w:val="62214605"/>
    <w:rsid w:val="63C92918"/>
    <w:rsid w:val="63FA510E"/>
    <w:rsid w:val="648A46E4"/>
    <w:rsid w:val="64DB4F3F"/>
    <w:rsid w:val="66901C8E"/>
    <w:rsid w:val="66CD08B8"/>
    <w:rsid w:val="66FC1C79"/>
    <w:rsid w:val="67184229"/>
    <w:rsid w:val="68D37C3F"/>
    <w:rsid w:val="69C441F4"/>
    <w:rsid w:val="6A883E48"/>
    <w:rsid w:val="6B025593"/>
    <w:rsid w:val="6D721C7B"/>
    <w:rsid w:val="6E0332E1"/>
    <w:rsid w:val="6F541B76"/>
    <w:rsid w:val="706933FF"/>
    <w:rsid w:val="708010DE"/>
    <w:rsid w:val="71CD5C10"/>
    <w:rsid w:val="720F6228"/>
    <w:rsid w:val="734D708D"/>
    <w:rsid w:val="744C7EB7"/>
    <w:rsid w:val="76481D09"/>
    <w:rsid w:val="78743289"/>
    <w:rsid w:val="792E168A"/>
    <w:rsid w:val="7967694A"/>
    <w:rsid w:val="79B64E99"/>
    <w:rsid w:val="7C13282C"/>
    <w:rsid w:val="7D6E4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qFormat="1"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6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7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footnote text"/>
    <w:basedOn w:val="1"/>
    <w:link w:val="29"/>
    <w:unhideWhenUsed/>
    <w:qFormat/>
    <w:uiPriority w:val="99"/>
    <w:pPr>
      <w:widowControl/>
      <w:jc w:val="left"/>
    </w:pPr>
    <w:rPr>
      <w:rFonts w:cs="Times New Roman"/>
      <w:kern w:val="0"/>
      <w:sz w:val="20"/>
      <w:szCs w:val="20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3">
    <w:name w:val="Light Shading Accent 1"/>
    <w:basedOn w:val="11"/>
    <w:qFormat/>
    <w:uiPriority w:val="60"/>
    <w:rPr>
      <w:color w:val="2F5597" w:themeColor="accent1" w:themeShade="BF"/>
      <w:kern w:val="0"/>
      <w:sz w:val="22"/>
    </w:rPr>
    <w:tblPr>
      <w:tblBorders>
        <w:top w:val="single" w:color="4472C4" w:themeColor="accent1" w:sz="8" w:space="0"/>
        <w:bottom w:val="single" w:color="4472C4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1" w:sz="8" w:space="0"/>
          <w:left w:val="nil"/>
          <w:bottom w:val="single" w:color="4472C4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1" w:sz="8" w:space="0"/>
          <w:left w:val="nil"/>
          <w:bottom w:val="single" w:color="4472C4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C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CF0" w:themeFill="accent1" w:themeFillTint="3F"/>
      </w:tcPr>
    </w:tblStylePr>
  </w:style>
  <w:style w:type="table" w:styleId="14">
    <w:name w:val="Medium Shading 2 Accent 5"/>
    <w:basedOn w:val="11"/>
    <w:qFormat/>
    <w:uiPriority w:val="64"/>
    <w:rPr>
      <w:kern w:val="0"/>
      <w:sz w:val="22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character" w:customStyle="1" w:styleId="16">
    <w:name w:val="页眉 字符"/>
    <w:basedOn w:val="15"/>
    <w:link w:val="9"/>
    <w:qFormat/>
    <w:uiPriority w:val="99"/>
    <w:rPr>
      <w:sz w:val="18"/>
      <w:szCs w:val="18"/>
    </w:rPr>
  </w:style>
  <w:style w:type="character" w:customStyle="1" w:styleId="17">
    <w:name w:val="页脚 字符"/>
    <w:basedOn w:val="15"/>
    <w:link w:val="8"/>
    <w:qFormat/>
    <w:uiPriority w:val="99"/>
    <w:rPr>
      <w:sz w:val="18"/>
      <w:szCs w:val="18"/>
    </w:rPr>
  </w:style>
  <w:style w:type="character" w:customStyle="1" w:styleId="18">
    <w:name w:val="标题 1 字符"/>
    <w:basedOn w:val="15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2 字符"/>
    <w:basedOn w:val="15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0">
    <w:name w:val="标题 3 字符"/>
    <w:basedOn w:val="15"/>
    <w:link w:val="4"/>
    <w:qFormat/>
    <w:uiPriority w:val="9"/>
    <w:rPr>
      <w:b/>
      <w:bCs/>
      <w:sz w:val="32"/>
      <w:szCs w:val="32"/>
    </w:rPr>
  </w:style>
  <w:style w:type="character" w:customStyle="1" w:styleId="21">
    <w:name w:val="标题 4 字符"/>
    <w:basedOn w:val="15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table" w:customStyle="1" w:styleId="22">
    <w:name w:val="Grid Table 5 Dark Accent 4"/>
    <w:basedOn w:val="11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2CC" w:themeFill="accent4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FFC000" w:themeFill="accent4"/>
      </w:tcPr>
    </w:tblStylePr>
    <w:tblStylePr w:type="band1Vert">
      <w:tcPr>
        <w:shd w:val="clear" w:color="auto" w:fill="FFE599" w:themeFill="accent4" w:themeFillTint="66"/>
      </w:tcPr>
    </w:tblStylePr>
    <w:tblStylePr w:type="band1Horz">
      <w:tcPr>
        <w:shd w:val="clear" w:color="auto" w:fill="FFE599" w:themeFill="accent4" w:themeFillTint="66"/>
      </w:tcPr>
    </w:tblStylePr>
  </w:style>
  <w:style w:type="table" w:customStyle="1" w:styleId="23">
    <w:name w:val="List Table 3 Accent 1"/>
    <w:basedOn w:val="11"/>
    <w:qFormat/>
    <w:uiPriority w:val="48"/>
    <w:tblPr>
      <w:tblBorders>
        <w:top w:val="single" w:color="4472C4" w:themeColor="accent1" w:sz="4" w:space="0"/>
        <w:left w:val="single" w:color="4472C4" w:themeColor="accent1" w:sz="4" w:space="0"/>
        <w:bottom w:val="single" w:color="4472C4" w:themeColor="accent1" w:sz="4" w:space="0"/>
        <w:right w:val="single" w:color="4472C4" w:themeColor="accen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472C4" w:themeFill="accent1"/>
      </w:tcPr>
    </w:tblStylePr>
    <w:tblStylePr w:type="lastRow">
      <w:rPr>
        <w:b/>
        <w:bCs/>
      </w:rPr>
      <w:tcPr>
        <w:tcBorders>
          <w:top w:val="double" w:color="4472C4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4472C4" w:themeColor="accent1" w:sz="4" w:space="0"/>
          <w:right w:val="single" w:color="4472C4" w:themeColor="accent1" w:sz="4" w:space="0"/>
        </w:tcBorders>
      </w:tcPr>
    </w:tblStylePr>
    <w:tblStylePr w:type="band1Horz">
      <w:tcPr>
        <w:tcBorders>
          <w:top w:val="single" w:color="4472C4" w:themeColor="accent1" w:sz="4" w:space="0"/>
          <w:bottom w:val="single" w:color="4472C4" w:themeColor="accen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4472C4" w:themeColor="accent1" w:sz="4" w:space="0"/>
          <w:left w:val="nil"/>
        </w:tcBorders>
      </w:tcPr>
    </w:tblStylePr>
    <w:tblStylePr w:type="swCell">
      <w:tcPr>
        <w:tcBorders>
          <w:top w:val="double" w:color="4472C4" w:themeColor="accent1" w:sz="4" w:space="0"/>
          <w:right w:val="nil"/>
        </w:tcBorders>
      </w:tcPr>
    </w:tblStylePr>
  </w:style>
  <w:style w:type="table" w:customStyle="1" w:styleId="24">
    <w:name w:val="List Table 4 Accent 1"/>
    <w:basedOn w:val="11"/>
    <w:qFormat/>
    <w:uiPriority w:val="49"/>
    <w:tblPr>
      <w:tblBorders>
        <w:top w:val="single" w:color="8EAADB" w:themeColor="accent1" w:themeTint="99" w:sz="4" w:space="0"/>
        <w:left w:val="single" w:color="8EAADB" w:themeColor="accent1" w:themeTint="99" w:sz="4" w:space="0"/>
        <w:bottom w:val="single" w:color="8EAADB" w:themeColor="accent1" w:themeTint="99" w:sz="4" w:space="0"/>
        <w:right w:val="single" w:color="8EAADB" w:themeColor="accent1" w:themeTint="99" w:sz="4" w:space="0"/>
        <w:insideH w:val="single" w:color="8EAADB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1" w:sz="4" w:space="0"/>
          <w:left w:val="single" w:color="4472C4" w:themeColor="accent1" w:sz="4" w:space="0"/>
          <w:bottom w:val="single" w:color="4472C4" w:themeColor="accent1" w:sz="4" w:space="0"/>
          <w:right w:val="single" w:color="4472C4" w:themeColor="accent1" w:sz="4" w:space="0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cPr>
        <w:tcBorders>
          <w:top w:val="double" w:color="8EAADB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1" w:themeFillTint="33"/>
      </w:tcPr>
    </w:tblStylePr>
    <w:tblStylePr w:type="band1Horz">
      <w:tcPr>
        <w:shd w:val="clear" w:color="auto" w:fill="D9E2F3" w:themeFill="accent1" w:themeFillTint="33"/>
      </w:tcPr>
    </w:tblStylePr>
  </w:style>
  <w:style w:type="table" w:customStyle="1" w:styleId="25">
    <w:name w:val="Grid Table 4 Accent 5"/>
    <w:basedOn w:val="11"/>
    <w:qFormat/>
    <w:uiPriority w:val="49"/>
    <w:tblPr>
      <w:tblBorders>
        <w:top w:val="single" w:color="9CC2E5" w:themeColor="accent5" w:themeTint="99" w:sz="4" w:space="0"/>
        <w:left w:val="single" w:color="9CC2E5" w:themeColor="accent5" w:themeTint="99" w:sz="4" w:space="0"/>
        <w:bottom w:val="single" w:color="9CC2E5" w:themeColor="accent5" w:themeTint="99" w:sz="4" w:space="0"/>
        <w:right w:val="single" w:color="9CC2E5" w:themeColor="accent5" w:themeTint="99" w:sz="4" w:space="0"/>
        <w:insideH w:val="single" w:color="9CC2E5" w:themeColor="accent5" w:themeTint="99" w:sz="4" w:space="0"/>
        <w:insideV w:val="single" w:color="9CC2E5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5" w:sz="4" w:space="0"/>
          <w:left w:val="single" w:color="5B9BD5" w:themeColor="accent5" w:sz="4" w:space="0"/>
          <w:bottom w:val="single" w:color="5B9BD5" w:themeColor="accent5" w:sz="4" w:space="0"/>
          <w:right w:val="single" w:color="5B9BD5" w:themeColor="accent5" w:sz="4" w:space="0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cPr>
        <w:tcBorders>
          <w:top w:val="double" w:color="5B9BD5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5" w:themeFillTint="33"/>
      </w:tcPr>
    </w:tblStylePr>
    <w:tblStylePr w:type="band1Horz">
      <w:tcPr>
        <w:shd w:val="clear" w:color="auto" w:fill="DEEAF6" w:themeFill="accent5" w:themeFillTint="33"/>
      </w:tcPr>
    </w:tblStylePr>
  </w:style>
  <w:style w:type="character" w:customStyle="1" w:styleId="26">
    <w:name w:val="标题 5 字符"/>
    <w:basedOn w:val="15"/>
    <w:link w:val="6"/>
    <w:qFormat/>
    <w:uiPriority w:val="9"/>
    <w:rPr>
      <w:b/>
      <w:bCs/>
      <w:sz w:val="28"/>
      <w:szCs w:val="28"/>
    </w:rPr>
  </w:style>
  <w:style w:type="character" w:customStyle="1" w:styleId="27">
    <w:name w:val="标题 6 字符"/>
    <w:basedOn w:val="15"/>
    <w:link w:val="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paragraph" w:customStyle="1" w:styleId="28">
    <w:name w:val="Decimal Aligned"/>
    <w:basedOn w:val="1"/>
    <w:qFormat/>
    <w:uiPriority w:val="40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character" w:customStyle="1" w:styleId="29">
    <w:name w:val="脚注文本 字符"/>
    <w:basedOn w:val="15"/>
    <w:link w:val="10"/>
    <w:qFormat/>
    <w:uiPriority w:val="99"/>
    <w:rPr>
      <w:rFonts w:cs="Times New Roman"/>
      <w:kern w:val="0"/>
      <w:sz w:val="20"/>
      <w:szCs w:val="20"/>
    </w:rPr>
  </w:style>
  <w:style w:type="character" w:customStyle="1" w:styleId="30">
    <w:name w:val="Subtle Emphasis"/>
    <w:basedOn w:val="15"/>
    <w:qFormat/>
    <w:uiPriority w:val="19"/>
    <w:rPr>
      <w:i/>
      <w:iCs/>
    </w:rPr>
  </w:style>
  <w:style w:type="table" w:customStyle="1" w:styleId="31">
    <w:name w:val="List Table 4 Accent 5"/>
    <w:basedOn w:val="11"/>
    <w:qFormat/>
    <w:uiPriority w:val="49"/>
    <w:tblPr>
      <w:tblBorders>
        <w:top w:val="single" w:color="9CC2E5" w:themeColor="accent5" w:themeTint="99" w:sz="4" w:space="0"/>
        <w:left w:val="single" w:color="9CC2E5" w:themeColor="accent5" w:themeTint="99" w:sz="4" w:space="0"/>
        <w:bottom w:val="single" w:color="9CC2E5" w:themeColor="accent5" w:themeTint="99" w:sz="4" w:space="0"/>
        <w:right w:val="single" w:color="9CC2E5" w:themeColor="accent5" w:themeTint="99" w:sz="4" w:space="0"/>
        <w:insideH w:val="single" w:color="9CC2E5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5" w:sz="4" w:space="0"/>
          <w:left w:val="single" w:color="5B9BD5" w:themeColor="accent5" w:sz="4" w:space="0"/>
          <w:bottom w:val="single" w:color="5B9BD5" w:themeColor="accent5" w:sz="4" w:space="0"/>
          <w:right w:val="single" w:color="5B9BD5" w:themeColor="accent5" w:sz="4" w:space="0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cPr>
        <w:tcBorders>
          <w:top w:val="double" w:color="9CC2E5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5" w:themeFillTint="33"/>
      </w:tcPr>
    </w:tblStylePr>
    <w:tblStylePr w:type="band1Horz">
      <w:tcPr>
        <w:shd w:val="clear" w:color="auto" w:fill="DEEAF6" w:themeFill="accent5" w:themeFillTint="33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275170-2879-4BEA-A7B1-1B455DF1B2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289</Words>
  <Characters>1651</Characters>
  <Lines>13</Lines>
  <Paragraphs>3</Paragraphs>
  <TotalTime>0</TotalTime>
  <ScaleCrop>false</ScaleCrop>
  <LinksUpToDate>false</LinksUpToDate>
  <CharactersWithSpaces>1937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2019-12-24T02:32:00Z</dcterms:created>
  <dc:creator>JNDX</dc:creator>
  <cp:lastModifiedBy>sky</cp:lastModifiedBy>
  <dcterms:modified xsi:type="dcterms:W3CDTF">2021-12-20T15:55:11Z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201AF6F353FD485995373CA0A4F856EE</vt:lpwstr>
  </property>
</Properties>
</file>